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A0E9" w14:textId="77777777" w:rsidR="009F160E" w:rsidRPr="009F160E" w:rsidRDefault="009F160E" w:rsidP="009F160E">
      <w:pPr>
        <w:spacing w:after="0" w:line="360" w:lineRule="auto"/>
        <w:rPr>
          <w:rFonts w:eastAsia="Times New Roman" w:cs="Times New Roman"/>
          <w:b/>
          <w:sz w:val="28"/>
          <w:szCs w:val="28"/>
        </w:rPr>
      </w:pPr>
      <w:bookmarkStart w:id="0" w:name="_Hlk40099934"/>
    </w:p>
    <w:p w14:paraId="3A80D7AC" w14:textId="3A6C9550" w:rsidR="009F160E" w:rsidRPr="009F160E" w:rsidRDefault="009F160E" w:rsidP="009F160E">
      <w:pPr>
        <w:spacing w:after="0" w:line="360" w:lineRule="auto"/>
        <w:rPr>
          <w:rFonts w:eastAsia="Times New Roman" w:cs="Times New Roman"/>
          <w:b/>
          <w:sz w:val="28"/>
          <w:szCs w:val="28"/>
        </w:rPr>
      </w:pPr>
      <w:r w:rsidRPr="009F160E">
        <w:rPr>
          <w:rFonts w:eastAsia="Times New Roman" w:cs="Times New Roman"/>
          <w:b/>
          <w:sz w:val="28"/>
          <w:szCs w:val="28"/>
        </w:rPr>
        <w:t>Care at the Chemist – Minor Ailments Scheme (CATC)</w:t>
      </w:r>
    </w:p>
    <w:p w14:paraId="7BDEB0D5" w14:textId="77777777" w:rsidR="009F160E" w:rsidRPr="009F160E" w:rsidRDefault="009F160E" w:rsidP="009F160E">
      <w:pPr>
        <w:spacing w:after="0" w:line="360" w:lineRule="auto"/>
        <w:rPr>
          <w:rFonts w:eastAsia="Times New Roman" w:cs="Times New Roman"/>
          <w:b/>
          <w:szCs w:val="24"/>
        </w:rPr>
      </w:pPr>
      <w:r w:rsidRPr="009F160E">
        <w:rPr>
          <w:rFonts w:eastAsia="Times New Roman" w:cs="Times New Roman"/>
          <w:b/>
          <w:szCs w:val="24"/>
        </w:rPr>
        <w:t>Service level agreement</w:t>
      </w:r>
    </w:p>
    <w:p w14:paraId="2932C2EE" w14:textId="77777777" w:rsidR="009F160E" w:rsidRPr="009F160E" w:rsidRDefault="009F160E" w:rsidP="009F160E">
      <w:pPr>
        <w:numPr>
          <w:ilvl w:val="0"/>
          <w:numId w:val="1"/>
        </w:numPr>
        <w:spacing w:before="240" w:after="0" w:line="360" w:lineRule="auto"/>
        <w:ind w:left="357" w:hanging="357"/>
        <w:rPr>
          <w:rFonts w:eastAsia="Times New Roman" w:cs="Times New Roman"/>
          <w:szCs w:val="24"/>
        </w:rPr>
      </w:pPr>
      <w:r w:rsidRPr="009F160E">
        <w:rPr>
          <w:rFonts w:eastAsia="Times New Roman" w:cs="Times New Roman"/>
          <w:b/>
          <w:szCs w:val="24"/>
        </w:rPr>
        <w:t>Parties to the Agreement</w:t>
      </w:r>
    </w:p>
    <w:p w14:paraId="1B6CFF80" w14:textId="7A06688A" w:rsidR="009F160E" w:rsidRPr="009F160E" w:rsidRDefault="009F160E" w:rsidP="009F160E">
      <w:pPr>
        <w:spacing w:after="0" w:line="360" w:lineRule="auto"/>
        <w:rPr>
          <w:rFonts w:eastAsia="Times New Roman" w:cs="Times New Roman"/>
          <w:szCs w:val="24"/>
        </w:rPr>
      </w:pPr>
      <w:r w:rsidRPr="009F160E">
        <w:rPr>
          <w:rFonts w:eastAsia="Times New Roman" w:cs="Times New Roman"/>
          <w:szCs w:val="24"/>
        </w:rPr>
        <w:t xml:space="preserve">This agreement is between ……………………………and NHS </w:t>
      </w:r>
      <w:r>
        <w:rPr>
          <w:rFonts w:eastAsia="Times New Roman" w:cs="Times New Roman"/>
          <w:szCs w:val="24"/>
        </w:rPr>
        <w:t>England</w:t>
      </w:r>
      <w:r w:rsidR="00C01F32">
        <w:rPr>
          <w:rFonts w:eastAsia="Times New Roman" w:cs="Times New Roman"/>
          <w:szCs w:val="24"/>
        </w:rPr>
        <w:t xml:space="preserve"> and NHS Improvement</w:t>
      </w:r>
      <w:r w:rsidR="007627AD">
        <w:rPr>
          <w:rFonts w:eastAsia="Times New Roman" w:cs="Times New Roman"/>
          <w:szCs w:val="24"/>
        </w:rPr>
        <w:t xml:space="preserve"> (NHSE</w:t>
      </w:r>
      <w:r w:rsidR="00C01F32">
        <w:rPr>
          <w:rFonts w:eastAsia="Times New Roman" w:cs="Times New Roman"/>
          <w:szCs w:val="24"/>
        </w:rPr>
        <w:t>&amp;I</w:t>
      </w:r>
      <w:r w:rsidR="007627AD">
        <w:rPr>
          <w:rFonts w:eastAsia="Times New Roman" w:cs="Times New Roman"/>
          <w:szCs w:val="24"/>
        </w:rPr>
        <w:t>)</w:t>
      </w:r>
    </w:p>
    <w:p w14:paraId="3F929F93" w14:textId="77777777" w:rsidR="009F160E" w:rsidRPr="009F160E" w:rsidRDefault="009F160E" w:rsidP="009F160E">
      <w:pPr>
        <w:numPr>
          <w:ilvl w:val="0"/>
          <w:numId w:val="1"/>
        </w:numPr>
        <w:spacing w:before="240" w:after="0" w:line="360" w:lineRule="auto"/>
        <w:rPr>
          <w:rFonts w:eastAsia="Times New Roman" w:cs="Times New Roman"/>
          <w:b/>
          <w:szCs w:val="24"/>
        </w:rPr>
      </w:pPr>
      <w:r w:rsidRPr="009F160E">
        <w:rPr>
          <w:rFonts w:eastAsia="Times New Roman" w:cs="Times New Roman"/>
          <w:b/>
          <w:szCs w:val="24"/>
        </w:rPr>
        <w:t>Purpose of the Agreement</w:t>
      </w:r>
    </w:p>
    <w:p w14:paraId="7700AE94" w14:textId="62E56AF2" w:rsidR="009F160E" w:rsidRPr="009F160E" w:rsidRDefault="009F160E" w:rsidP="009F160E">
      <w:pPr>
        <w:spacing w:after="0" w:line="360" w:lineRule="auto"/>
        <w:rPr>
          <w:rFonts w:eastAsia="Times New Roman" w:cs="Times New Roman"/>
          <w:szCs w:val="24"/>
        </w:rPr>
      </w:pPr>
      <w:r w:rsidRPr="009F160E">
        <w:rPr>
          <w:rFonts w:eastAsia="Times New Roman" w:cs="Times New Roman"/>
          <w:szCs w:val="24"/>
        </w:rPr>
        <w:t xml:space="preserve">This agreement relates to the </w:t>
      </w:r>
      <w:r w:rsidR="00C01F32">
        <w:rPr>
          <w:rFonts w:eastAsia="Times New Roman" w:cs="Times New Roman"/>
          <w:szCs w:val="24"/>
        </w:rPr>
        <w:t xml:space="preserve">service to </w:t>
      </w:r>
      <w:r w:rsidRPr="009F160E">
        <w:rPr>
          <w:rFonts w:eastAsia="Times New Roman" w:cs="Times New Roman"/>
          <w:szCs w:val="24"/>
        </w:rPr>
        <w:t>supply formulary ‘OTC’ and ‘P’ medicines for minor ailments through the ‘CATC’ service.</w:t>
      </w:r>
      <w:r w:rsidR="00C01F32">
        <w:rPr>
          <w:rFonts w:eastAsia="Times New Roman" w:cs="Times New Roman"/>
          <w:szCs w:val="24"/>
        </w:rPr>
        <w:t xml:space="preserve"> This is an Enhanced Service under the terms of the Community Pharmacy Contractual Framework</w:t>
      </w:r>
    </w:p>
    <w:p w14:paraId="70365E58" w14:textId="77777777" w:rsidR="009F160E" w:rsidRPr="009F160E" w:rsidRDefault="009F160E" w:rsidP="009F160E">
      <w:pPr>
        <w:numPr>
          <w:ilvl w:val="0"/>
          <w:numId w:val="1"/>
        </w:numPr>
        <w:spacing w:before="240" w:after="0" w:line="360" w:lineRule="auto"/>
        <w:rPr>
          <w:rFonts w:eastAsia="Times New Roman" w:cs="Times New Roman"/>
          <w:b/>
          <w:szCs w:val="24"/>
        </w:rPr>
      </w:pPr>
      <w:r w:rsidRPr="009F160E">
        <w:rPr>
          <w:rFonts w:eastAsia="Times New Roman" w:cs="Times New Roman"/>
          <w:b/>
          <w:szCs w:val="24"/>
        </w:rPr>
        <w:t>Agreement Period</w:t>
      </w:r>
    </w:p>
    <w:p w14:paraId="70CE5C76" w14:textId="6741CCD9"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The agreement will commence on 1</w:t>
      </w:r>
      <w:r w:rsidRPr="009F160E">
        <w:rPr>
          <w:rFonts w:eastAsia="Times New Roman" w:cs="Times New Roman"/>
          <w:szCs w:val="24"/>
          <w:vertAlign w:val="superscript"/>
        </w:rPr>
        <w:t>st</w:t>
      </w:r>
      <w:r w:rsidRPr="009F160E">
        <w:rPr>
          <w:rFonts w:eastAsia="Times New Roman" w:cs="Times New Roman"/>
          <w:szCs w:val="24"/>
        </w:rPr>
        <w:t xml:space="preserve"> </w:t>
      </w:r>
      <w:r w:rsidR="005C699C">
        <w:rPr>
          <w:rFonts w:eastAsia="Times New Roman" w:cs="Times New Roman"/>
          <w:szCs w:val="24"/>
        </w:rPr>
        <w:t>April 2</w:t>
      </w:r>
      <w:r w:rsidR="00C01F32">
        <w:rPr>
          <w:rFonts w:eastAsia="Times New Roman" w:cs="Times New Roman"/>
          <w:szCs w:val="24"/>
        </w:rPr>
        <w:t>02</w:t>
      </w:r>
      <w:r w:rsidR="001C775D">
        <w:rPr>
          <w:rFonts w:eastAsia="Times New Roman" w:cs="Times New Roman"/>
          <w:szCs w:val="24"/>
        </w:rPr>
        <w:t>3</w:t>
      </w:r>
      <w:r w:rsidRPr="009F160E">
        <w:rPr>
          <w:rFonts w:eastAsia="Times New Roman" w:cs="Times New Roman"/>
          <w:szCs w:val="24"/>
        </w:rPr>
        <w:t xml:space="preserve"> and terminate on the </w:t>
      </w:r>
      <w:proofErr w:type="gramStart"/>
      <w:r w:rsidRPr="009F160E">
        <w:rPr>
          <w:rFonts w:eastAsia="Times New Roman" w:cs="Times New Roman"/>
          <w:szCs w:val="24"/>
        </w:rPr>
        <w:t>31</w:t>
      </w:r>
      <w:r w:rsidRPr="009F160E">
        <w:rPr>
          <w:rFonts w:eastAsia="Times New Roman" w:cs="Times New Roman"/>
          <w:szCs w:val="24"/>
          <w:vertAlign w:val="superscript"/>
        </w:rPr>
        <w:t>st</w:t>
      </w:r>
      <w:proofErr w:type="gramEnd"/>
      <w:r w:rsidR="0054391E">
        <w:rPr>
          <w:rFonts w:eastAsia="Times New Roman" w:cs="Times New Roman"/>
          <w:szCs w:val="24"/>
        </w:rPr>
        <w:t xml:space="preserve"> March 20</w:t>
      </w:r>
      <w:r w:rsidR="005C699C">
        <w:rPr>
          <w:rFonts w:eastAsia="Times New Roman" w:cs="Times New Roman"/>
          <w:szCs w:val="24"/>
        </w:rPr>
        <w:t>2</w:t>
      </w:r>
      <w:r w:rsidR="001C775D">
        <w:rPr>
          <w:rFonts w:eastAsia="Times New Roman" w:cs="Times New Roman"/>
          <w:szCs w:val="24"/>
        </w:rPr>
        <w:t>4</w:t>
      </w:r>
      <w:r w:rsidRPr="009F160E">
        <w:rPr>
          <w:rFonts w:eastAsia="Times New Roman" w:cs="Times New Roman"/>
          <w:szCs w:val="24"/>
        </w:rPr>
        <w:t>.</w:t>
      </w:r>
    </w:p>
    <w:p w14:paraId="37BE1CDE"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It will be subject to renewal if agreed by all parties.</w:t>
      </w:r>
    </w:p>
    <w:p w14:paraId="1366502F" w14:textId="0106E0EE"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 xml:space="preserve">The agreement may be terminated by either party (the Pharmacy or </w:t>
      </w:r>
      <w:r w:rsidR="007627AD">
        <w:rPr>
          <w:rFonts w:eastAsia="Times New Roman" w:cs="Times New Roman"/>
          <w:szCs w:val="24"/>
        </w:rPr>
        <w:t>NHSE</w:t>
      </w:r>
      <w:r w:rsidR="00C01F32">
        <w:rPr>
          <w:rFonts w:eastAsia="Times New Roman" w:cs="Times New Roman"/>
          <w:szCs w:val="24"/>
        </w:rPr>
        <w:t>&amp;I</w:t>
      </w:r>
      <w:r w:rsidR="007627AD">
        <w:rPr>
          <w:rFonts w:eastAsia="Times New Roman" w:cs="Times New Roman"/>
          <w:szCs w:val="24"/>
        </w:rPr>
        <w:t>)</w:t>
      </w:r>
      <w:r w:rsidRPr="009F160E">
        <w:rPr>
          <w:rFonts w:eastAsia="Times New Roman" w:cs="Times New Roman"/>
          <w:szCs w:val="24"/>
        </w:rPr>
        <w:t xml:space="preserve"> by providing written notification of their intent to do so. A period of 28 </w:t>
      </w:r>
      <w:r w:rsidR="00597858" w:rsidRPr="009F160E">
        <w:rPr>
          <w:rFonts w:eastAsia="Times New Roman" w:cs="Times New Roman"/>
          <w:szCs w:val="24"/>
        </w:rPr>
        <w:t>days’ notice</w:t>
      </w:r>
      <w:r w:rsidRPr="009F160E">
        <w:rPr>
          <w:rFonts w:eastAsia="Times New Roman" w:cs="Times New Roman"/>
          <w:szCs w:val="24"/>
        </w:rPr>
        <w:t xml:space="preserve"> shall be given.</w:t>
      </w:r>
    </w:p>
    <w:p w14:paraId="571EE541"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This agreement shall take effect in substitution of all previous agreements and arrangements whether wr</w:t>
      </w:r>
      <w:r w:rsidR="007627AD">
        <w:rPr>
          <w:rFonts w:eastAsia="Times New Roman" w:cs="Times New Roman"/>
          <w:szCs w:val="24"/>
        </w:rPr>
        <w:t xml:space="preserve">itten, or verbal between NHSE </w:t>
      </w:r>
      <w:r w:rsidRPr="009F160E">
        <w:rPr>
          <w:rFonts w:eastAsia="Times New Roman" w:cs="Times New Roman"/>
          <w:szCs w:val="24"/>
        </w:rPr>
        <w:t>and the Pharmacy.</w:t>
      </w:r>
    </w:p>
    <w:p w14:paraId="0EC7CC59" w14:textId="77777777" w:rsidR="00C01F32" w:rsidRPr="00C01F32" w:rsidRDefault="009F160E" w:rsidP="009F160E">
      <w:pPr>
        <w:numPr>
          <w:ilvl w:val="0"/>
          <w:numId w:val="1"/>
        </w:numPr>
        <w:spacing w:before="240" w:after="0" w:line="360" w:lineRule="auto"/>
        <w:ind w:left="720"/>
        <w:rPr>
          <w:rFonts w:eastAsia="Times New Roman" w:cs="Times New Roman"/>
          <w:szCs w:val="24"/>
        </w:rPr>
      </w:pPr>
      <w:r w:rsidRPr="00C01F32">
        <w:rPr>
          <w:rFonts w:eastAsia="Times New Roman" w:cs="Times New Roman"/>
          <w:b/>
          <w:szCs w:val="24"/>
        </w:rPr>
        <w:t xml:space="preserve">Obligations of the Pharmacy </w:t>
      </w:r>
    </w:p>
    <w:p w14:paraId="5D0D2773" w14:textId="677BADCF" w:rsidR="009F160E" w:rsidRPr="00C01F32" w:rsidRDefault="009F160E" w:rsidP="00C01F32">
      <w:pPr>
        <w:spacing w:before="240" w:after="0" w:line="360" w:lineRule="auto"/>
        <w:ind w:left="720"/>
        <w:rPr>
          <w:rFonts w:eastAsia="Times New Roman" w:cs="Times New Roman"/>
          <w:szCs w:val="24"/>
        </w:rPr>
      </w:pPr>
      <w:r w:rsidRPr="00C01F32">
        <w:rPr>
          <w:rFonts w:eastAsia="Times New Roman" w:cs="Times New Roman"/>
          <w:szCs w:val="24"/>
        </w:rPr>
        <w:t xml:space="preserve">The Pharmacy must provide the service in accordance with the criteria described within the ‘CATC’ Service Specification and Treatment Protocols’ and in accordance with this agreement. </w:t>
      </w:r>
    </w:p>
    <w:p w14:paraId="5CAF59CA" w14:textId="77777777" w:rsidR="009F160E" w:rsidRPr="009F160E" w:rsidRDefault="007627AD" w:rsidP="009F160E">
      <w:pPr>
        <w:numPr>
          <w:ilvl w:val="1"/>
          <w:numId w:val="1"/>
        </w:numPr>
        <w:spacing w:after="0" w:line="360" w:lineRule="auto"/>
        <w:rPr>
          <w:rFonts w:eastAsia="Times New Roman" w:cs="Times New Roman"/>
          <w:szCs w:val="24"/>
        </w:rPr>
      </w:pPr>
      <w:r>
        <w:rPr>
          <w:rFonts w:eastAsia="Times New Roman" w:cs="Times New Roman"/>
          <w:szCs w:val="24"/>
        </w:rPr>
        <w:t>NHS England</w:t>
      </w:r>
      <w:r w:rsidR="009F160E" w:rsidRPr="009F160E">
        <w:rPr>
          <w:rFonts w:eastAsia="Times New Roman" w:cs="Times New Roman"/>
          <w:szCs w:val="24"/>
        </w:rPr>
        <w:t xml:space="preserve"> will manage the service, process claims for payment and audit the service. Appropriate feedback to community pharmacists will be provided.</w:t>
      </w:r>
    </w:p>
    <w:p w14:paraId="4E14939E" w14:textId="77777777" w:rsidR="009F160E" w:rsidRPr="009F160E" w:rsidRDefault="009F160E" w:rsidP="009F160E">
      <w:pPr>
        <w:numPr>
          <w:ilvl w:val="0"/>
          <w:numId w:val="1"/>
        </w:numPr>
        <w:spacing w:before="240" w:after="0" w:line="360" w:lineRule="auto"/>
        <w:rPr>
          <w:rFonts w:eastAsia="Times New Roman" w:cs="Times New Roman"/>
          <w:b/>
          <w:szCs w:val="24"/>
        </w:rPr>
      </w:pPr>
      <w:r w:rsidRPr="009F160E">
        <w:rPr>
          <w:rFonts w:eastAsia="Times New Roman" w:cs="Times New Roman"/>
          <w:b/>
          <w:szCs w:val="24"/>
        </w:rPr>
        <w:t>Standards</w:t>
      </w:r>
    </w:p>
    <w:p w14:paraId="066FEA32" w14:textId="3B066D05"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 xml:space="preserve">Pharmacies wishing to provide the ‘CATC’ service must have </w:t>
      </w:r>
      <w:proofErr w:type="gramStart"/>
      <w:r w:rsidR="00C01F32">
        <w:rPr>
          <w:rFonts w:eastAsia="Times New Roman" w:cs="Times New Roman"/>
          <w:szCs w:val="24"/>
        </w:rPr>
        <w:t>signed  this</w:t>
      </w:r>
      <w:proofErr w:type="gramEnd"/>
      <w:r w:rsidR="00C01F32">
        <w:rPr>
          <w:rFonts w:eastAsia="Times New Roman" w:cs="Times New Roman"/>
          <w:szCs w:val="24"/>
        </w:rPr>
        <w:t xml:space="preserve"> </w:t>
      </w:r>
      <w:r w:rsidR="001C775D">
        <w:rPr>
          <w:rFonts w:eastAsia="Times New Roman" w:cs="Times New Roman"/>
          <w:szCs w:val="24"/>
        </w:rPr>
        <w:t>specification</w:t>
      </w:r>
      <w:r w:rsidR="00C01F32">
        <w:rPr>
          <w:rFonts w:eastAsia="Times New Roman" w:cs="Times New Roman"/>
          <w:szCs w:val="24"/>
        </w:rPr>
        <w:t xml:space="preserve"> </w:t>
      </w:r>
      <w:r w:rsidR="00EF2659">
        <w:rPr>
          <w:rFonts w:eastAsia="Times New Roman" w:cs="Times New Roman"/>
          <w:szCs w:val="24"/>
        </w:rPr>
        <w:t>and returned a copy to NHSE&amp;I</w:t>
      </w:r>
      <w:r w:rsidRPr="009F160E">
        <w:rPr>
          <w:rFonts w:eastAsia="Times New Roman" w:cs="Times New Roman"/>
          <w:szCs w:val="24"/>
        </w:rPr>
        <w:t xml:space="preserve">. </w:t>
      </w:r>
    </w:p>
    <w:p w14:paraId="0E7832D2"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Only pharmacists and pharmacy staff working within a pharm</w:t>
      </w:r>
      <w:r w:rsidR="007627AD">
        <w:rPr>
          <w:rFonts w:eastAsia="Times New Roman" w:cs="Times New Roman"/>
          <w:szCs w:val="24"/>
        </w:rPr>
        <w:t xml:space="preserve">acy </w:t>
      </w:r>
      <w:r w:rsidR="00FC4551">
        <w:rPr>
          <w:rFonts w:eastAsia="Times New Roman" w:cs="Times New Roman"/>
          <w:szCs w:val="24"/>
        </w:rPr>
        <w:t xml:space="preserve">currently </w:t>
      </w:r>
      <w:r w:rsidR="00FC4551" w:rsidRPr="009F160E">
        <w:rPr>
          <w:rFonts w:eastAsia="Times New Roman" w:cs="Times New Roman"/>
          <w:szCs w:val="24"/>
        </w:rPr>
        <w:t>within</w:t>
      </w:r>
      <w:r w:rsidRPr="009F160E">
        <w:rPr>
          <w:rFonts w:eastAsia="Times New Roman" w:cs="Times New Roman"/>
          <w:szCs w:val="24"/>
        </w:rPr>
        <w:t xml:space="preserve"> the </w:t>
      </w:r>
      <w:r w:rsidR="007627AD">
        <w:rPr>
          <w:rFonts w:eastAsia="Times New Roman" w:cs="Times New Roman"/>
          <w:szCs w:val="24"/>
        </w:rPr>
        <w:t>Liverpool</w:t>
      </w:r>
      <w:r w:rsidRPr="009F160E">
        <w:rPr>
          <w:rFonts w:eastAsia="Times New Roman" w:cs="Times New Roman"/>
          <w:szCs w:val="24"/>
        </w:rPr>
        <w:t xml:space="preserve"> CCG area can provide the service. </w:t>
      </w:r>
    </w:p>
    <w:p w14:paraId="34424DAC"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lastRenderedPageBreak/>
        <w:t>The pharmacist must be satisfied that they have a suitably safe, private area where they can have a confidential consultation with the patient (refer to section six).</w:t>
      </w:r>
    </w:p>
    <w:p w14:paraId="6EAA9FD7"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 xml:space="preserve">Pharmacists and the Pharmacy staff must at all times operate the ‘CATC’ service in accordance with the criteria described within the treatment protocols, service specification and this agreement. </w:t>
      </w:r>
    </w:p>
    <w:p w14:paraId="22C2EB93"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Should there be any concern regarding the patients presenting symptoms, patients must be referred for further medical advice as appropriate.</w:t>
      </w:r>
    </w:p>
    <w:p w14:paraId="2AD4329B" w14:textId="77777777" w:rsidR="00C7636C" w:rsidRDefault="009F160E" w:rsidP="009F160E">
      <w:pPr>
        <w:numPr>
          <w:ilvl w:val="1"/>
          <w:numId w:val="1"/>
        </w:numPr>
        <w:spacing w:after="0" w:line="360" w:lineRule="auto"/>
        <w:rPr>
          <w:rFonts w:eastAsia="Times New Roman" w:cs="Times New Roman"/>
          <w:szCs w:val="24"/>
        </w:rPr>
      </w:pPr>
      <w:r w:rsidRPr="00C7636C">
        <w:rPr>
          <w:rFonts w:eastAsia="Times New Roman" w:cs="Times New Roman"/>
          <w:szCs w:val="24"/>
        </w:rPr>
        <w:t>Locum pharmacists must be prepared to provide the ‘CATC’ service in accordance with the criteria described within the treatment protocols, service specification and this agreement</w:t>
      </w:r>
    </w:p>
    <w:p w14:paraId="29A633BC" w14:textId="77777777" w:rsidR="009F160E" w:rsidRPr="00C7636C" w:rsidRDefault="009F160E" w:rsidP="009F160E">
      <w:pPr>
        <w:numPr>
          <w:ilvl w:val="1"/>
          <w:numId w:val="1"/>
        </w:numPr>
        <w:spacing w:after="0" w:line="360" w:lineRule="auto"/>
        <w:rPr>
          <w:rFonts w:eastAsia="Times New Roman" w:cs="Times New Roman"/>
          <w:szCs w:val="24"/>
        </w:rPr>
      </w:pPr>
      <w:r w:rsidRPr="00C7636C">
        <w:rPr>
          <w:rFonts w:eastAsia="Times New Roman" w:cs="Times New Roman"/>
          <w:szCs w:val="24"/>
        </w:rPr>
        <w:t>If for any reason a locum pharmacist does not wish to provide the ‘CATC’ service, patients requesting advice and treatment for a minor ailment under the ‘CATC’ service must be signposted to another community pharmacy providing the service.</w:t>
      </w:r>
    </w:p>
    <w:p w14:paraId="681B7B73" w14:textId="77777777" w:rsidR="009F160E" w:rsidRPr="009F160E" w:rsidRDefault="009F160E" w:rsidP="009F160E">
      <w:pPr>
        <w:numPr>
          <w:ilvl w:val="0"/>
          <w:numId w:val="1"/>
        </w:numPr>
        <w:spacing w:before="240" w:after="0" w:line="360" w:lineRule="auto"/>
        <w:rPr>
          <w:rFonts w:eastAsia="Times New Roman" w:cs="Times New Roman"/>
          <w:b/>
          <w:szCs w:val="24"/>
        </w:rPr>
      </w:pPr>
      <w:r w:rsidRPr="009F160E">
        <w:rPr>
          <w:rFonts w:eastAsia="Times New Roman" w:cs="Times New Roman"/>
          <w:b/>
          <w:szCs w:val="24"/>
        </w:rPr>
        <w:t>Confidentiality</w:t>
      </w:r>
    </w:p>
    <w:p w14:paraId="015BE7E9"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At all times pharmacists will be mandated to preserve patient confidentiality in line with their responsibilities as members of the General Pharmaceutical Council and according to the NHS Code of Confidentiality.</w:t>
      </w:r>
    </w:p>
    <w:p w14:paraId="3DDC9629"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The Pharmacy must protect personal data in accordance with provisions and principles of the Data Protection Act.</w:t>
      </w:r>
    </w:p>
    <w:p w14:paraId="5279656E" w14:textId="77777777" w:rsidR="009F160E" w:rsidRPr="009F160E" w:rsidRDefault="009F160E" w:rsidP="009F160E">
      <w:pPr>
        <w:numPr>
          <w:ilvl w:val="0"/>
          <w:numId w:val="1"/>
        </w:numPr>
        <w:spacing w:before="240" w:after="0" w:line="360" w:lineRule="auto"/>
        <w:rPr>
          <w:rFonts w:eastAsia="Times New Roman" w:cs="Times New Roman"/>
          <w:b/>
          <w:szCs w:val="24"/>
        </w:rPr>
      </w:pPr>
      <w:r w:rsidRPr="009F160E">
        <w:rPr>
          <w:rFonts w:eastAsia="Times New Roman" w:cs="Times New Roman"/>
          <w:b/>
          <w:szCs w:val="24"/>
        </w:rPr>
        <w:t>Professional Indemnity Insurance</w:t>
      </w:r>
    </w:p>
    <w:p w14:paraId="16351DA8" w14:textId="77777777" w:rsidR="009F160E" w:rsidRPr="009F160E" w:rsidRDefault="009F160E" w:rsidP="009F160E">
      <w:pPr>
        <w:spacing w:after="0" w:line="360" w:lineRule="auto"/>
        <w:ind w:left="360"/>
        <w:rPr>
          <w:rFonts w:eastAsia="Times New Roman" w:cs="Times New Roman"/>
          <w:szCs w:val="24"/>
        </w:rPr>
      </w:pPr>
      <w:r w:rsidRPr="009F160E">
        <w:rPr>
          <w:rFonts w:eastAsia="Times New Roman" w:cs="Times New Roman"/>
          <w:szCs w:val="24"/>
        </w:rPr>
        <w:t>The Pharmacy and community pharmacists must notify their professional indemnity insurers and maintain adequate insurance cover for their participation in this service.</w:t>
      </w:r>
    </w:p>
    <w:p w14:paraId="0EBF70B4" w14:textId="77777777" w:rsidR="009F160E" w:rsidRPr="009F160E" w:rsidRDefault="009F160E" w:rsidP="00597858">
      <w:pPr>
        <w:pStyle w:val="BulletNormal"/>
      </w:pPr>
      <w:r w:rsidRPr="009F160E">
        <w:t>Service Funding and Payment Mechanism</w:t>
      </w:r>
    </w:p>
    <w:p w14:paraId="6153657B" w14:textId="77777777" w:rsidR="009F160E" w:rsidRPr="009F160E" w:rsidRDefault="00FA74CC" w:rsidP="009F160E">
      <w:pPr>
        <w:numPr>
          <w:ilvl w:val="1"/>
          <w:numId w:val="1"/>
        </w:numPr>
        <w:spacing w:after="0" w:line="360" w:lineRule="auto"/>
        <w:rPr>
          <w:rFonts w:eastAsia="Times New Roman" w:cs="Times New Roman"/>
          <w:szCs w:val="24"/>
        </w:rPr>
      </w:pPr>
      <w:r>
        <w:rPr>
          <w:rFonts w:eastAsia="Times New Roman" w:cs="Times New Roman"/>
          <w:szCs w:val="24"/>
        </w:rPr>
        <w:t>A fee of £2.04</w:t>
      </w:r>
      <w:r w:rsidR="009F160E" w:rsidRPr="009F160E">
        <w:rPr>
          <w:rFonts w:eastAsia="Times New Roman" w:cs="Times New Roman"/>
          <w:szCs w:val="24"/>
        </w:rPr>
        <w:t xml:space="preserve"> will be paid for each consultation undertaken as</w:t>
      </w:r>
      <w:r w:rsidR="009F160E" w:rsidRPr="009F160E">
        <w:rPr>
          <w:rFonts w:eastAsia="Times New Roman" w:cs="Times New Roman"/>
          <w:szCs w:val="24"/>
        </w:rPr>
        <w:br/>
        <w:t>part of the service.</w:t>
      </w:r>
    </w:p>
    <w:p w14:paraId="57691372" w14:textId="0AEB1779" w:rsidR="009F160E" w:rsidRPr="009F160E" w:rsidRDefault="00FA74CC" w:rsidP="009F160E">
      <w:pPr>
        <w:numPr>
          <w:ilvl w:val="1"/>
          <w:numId w:val="1"/>
        </w:numPr>
        <w:spacing w:after="0" w:line="360" w:lineRule="auto"/>
        <w:rPr>
          <w:rFonts w:eastAsia="Times New Roman" w:cs="Times New Roman"/>
          <w:szCs w:val="24"/>
        </w:rPr>
      </w:pPr>
      <w:r>
        <w:rPr>
          <w:rFonts w:eastAsia="Times New Roman" w:cs="Times New Roman"/>
          <w:szCs w:val="24"/>
        </w:rPr>
        <w:t>A fee of £</w:t>
      </w:r>
      <w:r w:rsidR="00EF2659">
        <w:rPr>
          <w:rFonts w:eastAsia="Times New Roman" w:cs="Times New Roman"/>
          <w:szCs w:val="24"/>
        </w:rPr>
        <w:t>1.27</w:t>
      </w:r>
      <w:r w:rsidR="009F160E" w:rsidRPr="009F160E">
        <w:rPr>
          <w:rFonts w:eastAsia="Times New Roman" w:cs="Times New Roman"/>
          <w:szCs w:val="24"/>
        </w:rPr>
        <w:t xml:space="preserve"> will be paid for each item dispensed as part of the service.</w:t>
      </w:r>
    </w:p>
    <w:p w14:paraId="751BEE9A"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The Pharmacy will be reimbursed for the medication supplied under the ‘CATC’ service accordin</w:t>
      </w:r>
      <w:r w:rsidR="00C7636C">
        <w:rPr>
          <w:rFonts w:eastAsia="Times New Roman" w:cs="Times New Roman"/>
          <w:szCs w:val="24"/>
        </w:rPr>
        <w:t>g to the CATC ‘drugs cost’ list plus VAT</w:t>
      </w:r>
    </w:p>
    <w:p w14:paraId="4B9D8341" w14:textId="478D084E" w:rsid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 xml:space="preserve">Where patients are not exempt from prescription charges and have paid the NHS </w:t>
      </w:r>
      <w:r w:rsidR="0054391E">
        <w:rPr>
          <w:rFonts w:eastAsia="Times New Roman" w:cs="Times New Roman"/>
          <w:szCs w:val="24"/>
        </w:rPr>
        <w:t>l</w:t>
      </w:r>
      <w:r w:rsidRPr="009F160E">
        <w:rPr>
          <w:rFonts w:eastAsia="Times New Roman" w:cs="Times New Roman"/>
          <w:szCs w:val="24"/>
        </w:rPr>
        <w:t xml:space="preserve">evy to the Pharmacy, </w:t>
      </w:r>
      <w:r w:rsidR="00F43EA9">
        <w:rPr>
          <w:rFonts w:eastAsia="Times New Roman" w:cs="Times New Roman"/>
          <w:szCs w:val="24"/>
        </w:rPr>
        <w:t>NHSE&amp;I</w:t>
      </w:r>
      <w:r w:rsidRPr="009F160E">
        <w:rPr>
          <w:rFonts w:eastAsia="Times New Roman" w:cs="Times New Roman"/>
          <w:szCs w:val="24"/>
        </w:rPr>
        <w:t xml:space="preserve"> will deduct such sums from the relevant month’s remuneration.</w:t>
      </w:r>
    </w:p>
    <w:p w14:paraId="45339FA1" w14:textId="5885C59A" w:rsidR="005C0FB7" w:rsidRPr="009F160E" w:rsidRDefault="00397AB9" w:rsidP="009F160E">
      <w:pPr>
        <w:numPr>
          <w:ilvl w:val="1"/>
          <w:numId w:val="1"/>
        </w:numPr>
        <w:spacing w:after="0" w:line="360" w:lineRule="auto"/>
        <w:rPr>
          <w:rFonts w:eastAsia="Times New Roman" w:cs="Times New Roman"/>
          <w:szCs w:val="24"/>
        </w:rPr>
      </w:pPr>
      <w:r>
        <w:rPr>
          <w:rFonts w:eastAsia="Times New Roman" w:cs="Times New Roman"/>
          <w:szCs w:val="24"/>
        </w:rPr>
        <w:t xml:space="preserve">Pharmacy staff will input the consultation details </w:t>
      </w:r>
      <w:proofErr w:type="gramStart"/>
      <w:r>
        <w:rPr>
          <w:rFonts w:eastAsia="Times New Roman" w:cs="Times New Roman"/>
          <w:szCs w:val="24"/>
        </w:rPr>
        <w:t>contemporaneously  into</w:t>
      </w:r>
      <w:proofErr w:type="gramEnd"/>
      <w:r>
        <w:rPr>
          <w:rFonts w:eastAsia="Times New Roman" w:cs="Times New Roman"/>
          <w:szCs w:val="24"/>
        </w:rPr>
        <w:t xml:space="preserve"> the PharmOutcomes system</w:t>
      </w:r>
    </w:p>
    <w:p w14:paraId="74C13172" w14:textId="3ADCCE9D" w:rsidR="009F160E" w:rsidRDefault="00397AB9" w:rsidP="009F160E">
      <w:pPr>
        <w:numPr>
          <w:ilvl w:val="1"/>
          <w:numId w:val="1"/>
        </w:numPr>
        <w:spacing w:after="0" w:line="360" w:lineRule="auto"/>
        <w:rPr>
          <w:rFonts w:eastAsia="Times New Roman" w:cs="Times New Roman"/>
          <w:szCs w:val="24"/>
        </w:rPr>
      </w:pPr>
      <w:r>
        <w:rPr>
          <w:rFonts w:eastAsia="Times New Roman" w:cs="Times New Roman"/>
          <w:szCs w:val="24"/>
        </w:rPr>
        <w:lastRenderedPageBreak/>
        <w:t xml:space="preserve">Invoices will be generated by PharmOutcomes and sent automatically to NHSE&amp;I for payment. </w:t>
      </w:r>
    </w:p>
    <w:p w14:paraId="3292E4A4"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It is the responsibility of the community pharmacy contractor to ensure appropriate VAT returns are made.</w:t>
      </w:r>
    </w:p>
    <w:p w14:paraId="485A35BA" w14:textId="77777777" w:rsidR="009F160E" w:rsidRPr="009F160E" w:rsidRDefault="009F160E" w:rsidP="009F160E">
      <w:pPr>
        <w:tabs>
          <w:tab w:val="num" w:pos="360"/>
        </w:tabs>
        <w:spacing w:before="240" w:after="0" w:line="360" w:lineRule="auto"/>
        <w:ind w:left="360" w:hanging="360"/>
        <w:rPr>
          <w:rFonts w:eastAsia="Times New Roman" w:cs="Times New Roman"/>
          <w:b/>
          <w:szCs w:val="24"/>
        </w:rPr>
      </w:pPr>
      <w:r w:rsidRPr="009F160E">
        <w:rPr>
          <w:rFonts w:eastAsia="Times New Roman" w:cs="Times New Roman"/>
          <w:b/>
          <w:szCs w:val="24"/>
        </w:rPr>
        <w:t>Audit</w:t>
      </w:r>
    </w:p>
    <w:p w14:paraId="47CC0BB8" w14:textId="49E84EC1" w:rsidR="009F160E" w:rsidRPr="009F160E" w:rsidRDefault="009F160E" w:rsidP="009F160E">
      <w:pPr>
        <w:spacing w:after="0" w:line="360" w:lineRule="auto"/>
        <w:ind w:left="360"/>
        <w:rPr>
          <w:rFonts w:eastAsia="Times New Roman" w:cs="Times New Roman"/>
          <w:szCs w:val="24"/>
        </w:rPr>
      </w:pPr>
      <w:r w:rsidRPr="009F160E">
        <w:rPr>
          <w:rFonts w:eastAsia="Times New Roman" w:cs="Times New Roman"/>
          <w:szCs w:val="24"/>
        </w:rPr>
        <w:t xml:space="preserve">The Pharmacy will allow </w:t>
      </w:r>
      <w:r w:rsidR="00084BFA">
        <w:rPr>
          <w:rFonts w:eastAsia="Times New Roman" w:cs="Times New Roman"/>
          <w:szCs w:val="24"/>
        </w:rPr>
        <w:t>NHSE</w:t>
      </w:r>
      <w:r w:rsidR="00397AB9">
        <w:rPr>
          <w:rFonts w:eastAsia="Times New Roman" w:cs="Times New Roman"/>
          <w:szCs w:val="24"/>
        </w:rPr>
        <w:t>&amp;I</w:t>
      </w:r>
      <w:r w:rsidR="00084BFA">
        <w:rPr>
          <w:rFonts w:eastAsia="Times New Roman" w:cs="Times New Roman"/>
          <w:szCs w:val="24"/>
        </w:rPr>
        <w:t xml:space="preserve"> </w:t>
      </w:r>
      <w:r w:rsidRPr="009F160E">
        <w:rPr>
          <w:rFonts w:eastAsia="Times New Roman" w:cs="Times New Roman"/>
          <w:szCs w:val="24"/>
        </w:rPr>
        <w:t xml:space="preserve">to access pharmacy records relating to this service for post payment verification purposes. </w:t>
      </w:r>
    </w:p>
    <w:p w14:paraId="79EA61F0" w14:textId="77777777" w:rsidR="009F160E" w:rsidRPr="009F160E" w:rsidRDefault="009F160E" w:rsidP="009F160E">
      <w:pPr>
        <w:numPr>
          <w:ilvl w:val="0"/>
          <w:numId w:val="1"/>
        </w:numPr>
        <w:spacing w:before="240" w:after="0" w:line="360" w:lineRule="auto"/>
        <w:rPr>
          <w:rFonts w:eastAsia="Times New Roman" w:cs="Times New Roman"/>
          <w:b/>
          <w:szCs w:val="24"/>
        </w:rPr>
      </w:pPr>
      <w:r w:rsidRPr="009F160E">
        <w:rPr>
          <w:rFonts w:eastAsia="Times New Roman" w:cs="Times New Roman"/>
          <w:b/>
          <w:szCs w:val="24"/>
        </w:rPr>
        <w:t>Complaints</w:t>
      </w:r>
    </w:p>
    <w:p w14:paraId="2FBC3B0F" w14:textId="77777777"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 xml:space="preserve">The Pharmacy is required to have a system in place for handling complaints. </w:t>
      </w:r>
    </w:p>
    <w:p w14:paraId="6332867D" w14:textId="69BF187B" w:rsidR="00084BFA"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 xml:space="preserve">The Pharmacy should also inform service users connected to this service of their right of complaint to </w:t>
      </w:r>
      <w:r w:rsidR="00084BFA">
        <w:rPr>
          <w:rFonts w:eastAsia="Times New Roman" w:cs="Times New Roman"/>
          <w:szCs w:val="24"/>
        </w:rPr>
        <w:t>NHSE</w:t>
      </w:r>
      <w:r w:rsidR="00397AB9">
        <w:rPr>
          <w:rFonts w:eastAsia="Times New Roman" w:cs="Times New Roman"/>
          <w:szCs w:val="24"/>
        </w:rPr>
        <w:t>&amp;I</w:t>
      </w:r>
      <w:r w:rsidR="00084BFA">
        <w:rPr>
          <w:rFonts w:eastAsia="Times New Roman" w:cs="Times New Roman"/>
          <w:szCs w:val="24"/>
        </w:rPr>
        <w:t xml:space="preserve"> </w:t>
      </w:r>
    </w:p>
    <w:p w14:paraId="245E53A9" w14:textId="200C4E0A" w:rsidR="009F160E" w:rsidRPr="009F160E" w:rsidRDefault="009F160E" w:rsidP="009F160E">
      <w:pPr>
        <w:numPr>
          <w:ilvl w:val="1"/>
          <w:numId w:val="1"/>
        </w:numPr>
        <w:spacing w:after="0" w:line="360" w:lineRule="auto"/>
        <w:rPr>
          <w:rFonts w:eastAsia="Times New Roman" w:cs="Times New Roman"/>
          <w:szCs w:val="24"/>
        </w:rPr>
      </w:pPr>
      <w:r w:rsidRPr="009F160E">
        <w:rPr>
          <w:rFonts w:eastAsia="Times New Roman" w:cs="Times New Roman"/>
          <w:szCs w:val="24"/>
        </w:rPr>
        <w:t xml:space="preserve">All information shall be provided to the service user </w:t>
      </w:r>
      <w:proofErr w:type="gramStart"/>
      <w:r w:rsidRPr="009F160E">
        <w:rPr>
          <w:rFonts w:eastAsia="Times New Roman" w:cs="Times New Roman"/>
          <w:szCs w:val="24"/>
        </w:rPr>
        <w:t>in order for</w:t>
      </w:r>
      <w:proofErr w:type="gramEnd"/>
      <w:r w:rsidRPr="009F160E">
        <w:rPr>
          <w:rFonts w:eastAsia="Times New Roman" w:cs="Times New Roman"/>
          <w:szCs w:val="24"/>
        </w:rPr>
        <w:t xml:space="preserve"> them to access</w:t>
      </w:r>
      <w:r w:rsidR="00D23CF1">
        <w:rPr>
          <w:rFonts w:eastAsia="Times New Roman" w:cs="Times New Roman"/>
          <w:szCs w:val="24"/>
        </w:rPr>
        <w:t xml:space="preserve"> the NHSE</w:t>
      </w:r>
      <w:r w:rsidR="00397AB9">
        <w:rPr>
          <w:rFonts w:eastAsia="Times New Roman" w:cs="Times New Roman"/>
          <w:szCs w:val="24"/>
        </w:rPr>
        <w:t>&amp;I</w:t>
      </w:r>
      <w:r w:rsidRPr="009F160E">
        <w:rPr>
          <w:rFonts w:eastAsia="Times New Roman" w:cs="Times New Roman"/>
          <w:szCs w:val="24"/>
        </w:rPr>
        <w:t xml:space="preserve"> complaints procedure.</w:t>
      </w:r>
    </w:p>
    <w:p w14:paraId="51BC4399" w14:textId="0099D457" w:rsidR="009F160E" w:rsidRPr="009F160E" w:rsidRDefault="00D23CF1" w:rsidP="009F160E">
      <w:pPr>
        <w:numPr>
          <w:ilvl w:val="1"/>
          <w:numId w:val="1"/>
        </w:numPr>
        <w:spacing w:after="0" w:line="360" w:lineRule="auto"/>
        <w:rPr>
          <w:rFonts w:eastAsia="Times New Roman" w:cs="Times New Roman"/>
          <w:szCs w:val="24"/>
        </w:rPr>
      </w:pPr>
      <w:r>
        <w:rPr>
          <w:rFonts w:eastAsia="Times New Roman" w:cs="Times New Roman"/>
          <w:szCs w:val="24"/>
        </w:rPr>
        <w:t>NHSE</w:t>
      </w:r>
      <w:r w:rsidR="00397AB9">
        <w:rPr>
          <w:rFonts w:eastAsia="Times New Roman" w:cs="Times New Roman"/>
          <w:szCs w:val="24"/>
        </w:rPr>
        <w:t>&amp;I</w:t>
      </w:r>
      <w:r w:rsidR="009F160E" w:rsidRPr="009F160E">
        <w:rPr>
          <w:rFonts w:eastAsia="Times New Roman" w:cs="Times New Roman"/>
          <w:szCs w:val="24"/>
        </w:rPr>
        <w:t xml:space="preserve"> shall reserve the right of directly investigating any complaints about the service. In such a case, the Pharmacy shall give the investigating officer full access to all relevant documents, files and information and will allow them to interview any personnel in the Pharmacy’s employment, or agent, in order to carry out their investigation effectively.</w:t>
      </w:r>
    </w:p>
    <w:p w14:paraId="3E7A302E" w14:textId="77777777" w:rsidR="009F160E" w:rsidRPr="009F160E" w:rsidRDefault="009F160E" w:rsidP="009F160E">
      <w:pPr>
        <w:numPr>
          <w:ilvl w:val="0"/>
          <w:numId w:val="1"/>
        </w:numPr>
        <w:spacing w:before="240" w:after="0" w:line="360" w:lineRule="auto"/>
        <w:rPr>
          <w:rFonts w:eastAsia="Times New Roman" w:cs="Times New Roman"/>
          <w:b/>
          <w:szCs w:val="24"/>
        </w:rPr>
      </w:pPr>
      <w:r w:rsidRPr="009F160E">
        <w:rPr>
          <w:rFonts w:eastAsia="Times New Roman" w:cs="Times New Roman"/>
          <w:b/>
          <w:szCs w:val="24"/>
        </w:rPr>
        <w:t>Significant Event Reporting</w:t>
      </w:r>
    </w:p>
    <w:p w14:paraId="70972841" w14:textId="77777777" w:rsidR="009F160E" w:rsidRPr="009F160E" w:rsidRDefault="009F160E" w:rsidP="009F160E">
      <w:pPr>
        <w:numPr>
          <w:ilvl w:val="0"/>
          <w:numId w:val="2"/>
        </w:numPr>
        <w:spacing w:after="0" w:line="360" w:lineRule="auto"/>
        <w:ind w:left="720"/>
        <w:rPr>
          <w:rFonts w:eastAsia="Times New Roman" w:cs="Times New Roman"/>
          <w:szCs w:val="24"/>
        </w:rPr>
      </w:pPr>
      <w:r w:rsidRPr="009F160E">
        <w:rPr>
          <w:rFonts w:eastAsia="Times New Roman" w:cs="Times New Roman"/>
          <w:szCs w:val="24"/>
        </w:rPr>
        <w:t xml:space="preserve">In the event of any ‘adverse incident’ or ‘near miss’, the pharmacist must complete the appropriate incident reporting form and demonstrate that the Pharmacy has learned from the incident. </w:t>
      </w:r>
    </w:p>
    <w:p w14:paraId="71F033C1" w14:textId="7DEAFB78" w:rsidR="009F160E" w:rsidRPr="009F160E" w:rsidRDefault="009F160E" w:rsidP="009F160E">
      <w:pPr>
        <w:numPr>
          <w:ilvl w:val="0"/>
          <w:numId w:val="2"/>
        </w:numPr>
        <w:spacing w:after="0" w:line="360" w:lineRule="auto"/>
        <w:ind w:left="720"/>
        <w:rPr>
          <w:rFonts w:eastAsia="Times New Roman" w:cs="Times New Roman"/>
          <w:szCs w:val="24"/>
        </w:rPr>
      </w:pPr>
      <w:r w:rsidRPr="009F160E">
        <w:rPr>
          <w:rFonts w:eastAsia="Times New Roman" w:cs="Times New Roman"/>
          <w:szCs w:val="24"/>
        </w:rPr>
        <w:t>All incidents sho</w:t>
      </w:r>
      <w:r w:rsidR="00D23CF1">
        <w:rPr>
          <w:rFonts w:eastAsia="Times New Roman" w:cs="Times New Roman"/>
          <w:szCs w:val="24"/>
        </w:rPr>
        <w:t xml:space="preserve">uld also be </w:t>
      </w:r>
      <w:r w:rsidR="00597858">
        <w:rPr>
          <w:rFonts w:eastAsia="Times New Roman" w:cs="Times New Roman"/>
          <w:szCs w:val="24"/>
        </w:rPr>
        <w:t>reported to</w:t>
      </w:r>
      <w:r w:rsidR="00D23CF1">
        <w:rPr>
          <w:rFonts w:eastAsia="Times New Roman" w:cs="Times New Roman"/>
          <w:szCs w:val="24"/>
        </w:rPr>
        <w:t xml:space="preserve"> NHSE</w:t>
      </w:r>
      <w:r w:rsidR="00397AB9">
        <w:rPr>
          <w:rFonts w:eastAsia="Times New Roman" w:cs="Times New Roman"/>
          <w:szCs w:val="24"/>
        </w:rPr>
        <w:t>&amp;I</w:t>
      </w:r>
      <w:r w:rsidRPr="009F160E">
        <w:rPr>
          <w:rFonts w:eastAsia="Times New Roman" w:cs="Times New Roman"/>
          <w:szCs w:val="24"/>
        </w:rPr>
        <w:t>.</w:t>
      </w:r>
    </w:p>
    <w:p w14:paraId="26FE73EB" w14:textId="77777777" w:rsidR="009F160E" w:rsidRPr="009F160E" w:rsidRDefault="009F160E" w:rsidP="009F160E">
      <w:pPr>
        <w:numPr>
          <w:ilvl w:val="0"/>
          <w:numId w:val="1"/>
        </w:numPr>
        <w:spacing w:before="240" w:after="0" w:line="360" w:lineRule="auto"/>
        <w:rPr>
          <w:rFonts w:eastAsia="Times New Roman" w:cs="Times New Roman"/>
          <w:b/>
          <w:szCs w:val="24"/>
        </w:rPr>
      </w:pPr>
      <w:r w:rsidRPr="009F160E">
        <w:rPr>
          <w:rFonts w:eastAsia="Times New Roman" w:cs="Times New Roman"/>
          <w:b/>
          <w:szCs w:val="24"/>
        </w:rPr>
        <w:t>Termination</w:t>
      </w:r>
    </w:p>
    <w:p w14:paraId="0AB1BB24" w14:textId="4B1D6104" w:rsidR="009F160E" w:rsidRPr="009F160E" w:rsidRDefault="009F160E" w:rsidP="009F160E">
      <w:pPr>
        <w:spacing w:after="0" w:line="360" w:lineRule="auto"/>
        <w:ind w:left="360"/>
        <w:rPr>
          <w:rFonts w:eastAsia="Times New Roman" w:cs="Times New Roman"/>
          <w:szCs w:val="24"/>
        </w:rPr>
      </w:pPr>
      <w:r w:rsidRPr="009F160E">
        <w:rPr>
          <w:rFonts w:eastAsia="Times New Roman" w:cs="Times New Roman"/>
          <w:szCs w:val="24"/>
        </w:rPr>
        <w:t>This agreement may be terminated by either party as d</w:t>
      </w:r>
      <w:r w:rsidR="00D23CF1">
        <w:rPr>
          <w:rFonts w:eastAsia="Times New Roman" w:cs="Times New Roman"/>
          <w:szCs w:val="24"/>
        </w:rPr>
        <w:t>etailed in section 3(c).</w:t>
      </w:r>
      <w:r w:rsidR="00D23CF1">
        <w:rPr>
          <w:rFonts w:eastAsia="Times New Roman" w:cs="Times New Roman"/>
          <w:szCs w:val="24"/>
        </w:rPr>
        <w:br/>
        <w:t>NHSE</w:t>
      </w:r>
      <w:r w:rsidR="001C775D">
        <w:rPr>
          <w:rFonts w:eastAsia="Times New Roman" w:cs="Times New Roman"/>
          <w:szCs w:val="24"/>
        </w:rPr>
        <w:t xml:space="preserve"> &amp; I </w:t>
      </w:r>
      <w:r w:rsidRPr="009F160E">
        <w:rPr>
          <w:rFonts w:eastAsia="Times New Roman" w:cs="Times New Roman"/>
          <w:szCs w:val="24"/>
        </w:rPr>
        <w:t>may terminate or suspend this agreement forthwith if there are reasonable grounds for concern.</w:t>
      </w:r>
    </w:p>
    <w:p w14:paraId="5F651377" w14:textId="77777777" w:rsidR="009F160E" w:rsidRPr="009F160E" w:rsidRDefault="009F160E" w:rsidP="009F160E">
      <w:pPr>
        <w:spacing w:after="0" w:line="360" w:lineRule="auto"/>
        <w:rPr>
          <w:rFonts w:eastAsia="Times New Roman" w:cs="Times New Roman"/>
          <w:szCs w:val="24"/>
        </w:rPr>
      </w:pPr>
    </w:p>
    <w:p w14:paraId="43A8AFB2" w14:textId="77777777" w:rsidR="009F160E" w:rsidRPr="009F160E" w:rsidRDefault="009F160E" w:rsidP="009F160E">
      <w:pPr>
        <w:spacing w:after="0" w:line="360" w:lineRule="auto"/>
        <w:rPr>
          <w:rFonts w:eastAsia="Times New Roman" w:cs="Times New Roman"/>
          <w:szCs w:val="24"/>
        </w:rPr>
      </w:pPr>
    </w:p>
    <w:p w14:paraId="396915FB" w14:textId="77777777" w:rsidR="009F160E" w:rsidRPr="009F160E" w:rsidRDefault="009F160E" w:rsidP="009F160E">
      <w:pPr>
        <w:spacing w:after="0" w:line="360" w:lineRule="auto"/>
        <w:rPr>
          <w:rFonts w:eastAsia="Times New Roman" w:cs="Times New Roman"/>
          <w:szCs w:val="24"/>
        </w:rPr>
      </w:pPr>
    </w:p>
    <w:p w14:paraId="0F7D219E" w14:textId="77777777" w:rsidR="009F160E" w:rsidRPr="009F160E" w:rsidRDefault="009F160E" w:rsidP="009F160E">
      <w:pPr>
        <w:spacing w:after="0" w:line="360" w:lineRule="auto"/>
        <w:rPr>
          <w:rFonts w:eastAsia="Times New Roman" w:cs="Times New Roman"/>
          <w:szCs w:val="24"/>
        </w:rPr>
      </w:pPr>
    </w:p>
    <w:p w14:paraId="4E7F5F4C" w14:textId="77777777" w:rsidR="009F160E" w:rsidRPr="009F160E" w:rsidRDefault="009F160E" w:rsidP="009F160E">
      <w:pPr>
        <w:spacing w:after="0" w:line="360" w:lineRule="auto"/>
        <w:rPr>
          <w:rFonts w:eastAsia="Times New Roman" w:cs="Times New Roman"/>
          <w:szCs w:val="24"/>
        </w:rPr>
      </w:pPr>
    </w:p>
    <w:p w14:paraId="0777C998" w14:textId="77777777" w:rsidR="00D23CF1" w:rsidRDefault="00D23CF1" w:rsidP="009F160E">
      <w:pPr>
        <w:spacing w:after="0" w:line="360" w:lineRule="auto"/>
        <w:rPr>
          <w:rFonts w:eastAsia="Times New Roman" w:cs="Times New Roman"/>
          <w:b/>
          <w:i/>
          <w:szCs w:val="24"/>
        </w:rPr>
      </w:pPr>
    </w:p>
    <w:p w14:paraId="197D7DAD" w14:textId="77777777" w:rsidR="00D23CF1" w:rsidRDefault="00D23CF1" w:rsidP="009F160E">
      <w:pPr>
        <w:spacing w:after="0" w:line="360" w:lineRule="auto"/>
        <w:rPr>
          <w:rFonts w:eastAsia="Times New Roman" w:cs="Times New Roman"/>
          <w:b/>
          <w:i/>
          <w:szCs w:val="24"/>
        </w:rPr>
      </w:pPr>
    </w:p>
    <w:p w14:paraId="7E4B04D3" w14:textId="77777777" w:rsidR="00597858" w:rsidRDefault="00597858" w:rsidP="009F160E">
      <w:pPr>
        <w:spacing w:after="0" w:line="360" w:lineRule="auto"/>
        <w:rPr>
          <w:rFonts w:eastAsia="Times New Roman" w:cs="Times New Roman"/>
          <w:b/>
          <w:i/>
          <w:szCs w:val="24"/>
        </w:rPr>
      </w:pPr>
    </w:p>
    <w:p w14:paraId="1F050E96" w14:textId="77777777" w:rsidR="00597858" w:rsidRDefault="00597858" w:rsidP="009F160E">
      <w:pPr>
        <w:spacing w:after="0" w:line="360" w:lineRule="auto"/>
        <w:rPr>
          <w:rFonts w:eastAsia="Times New Roman" w:cs="Times New Roman"/>
          <w:b/>
          <w:i/>
          <w:szCs w:val="24"/>
        </w:rPr>
      </w:pPr>
    </w:p>
    <w:p w14:paraId="200D54C1" w14:textId="77777777" w:rsidR="00D23CF1" w:rsidRDefault="00D23CF1" w:rsidP="009F160E">
      <w:pPr>
        <w:spacing w:after="0" w:line="360" w:lineRule="auto"/>
        <w:rPr>
          <w:rFonts w:eastAsia="Times New Roman" w:cs="Times New Roman"/>
          <w:b/>
          <w:i/>
          <w:szCs w:val="24"/>
        </w:rPr>
      </w:pPr>
    </w:p>
    <w:p w14:paraId="3A7935CC" w14:textId="77777777" w:rsidR="009F160E" w:rsidRPr="009F160E" w:rsidRDefault="009F160E" w:rsidP="009F160E">
      <w:pPr>
        <w:spacing w:after="0" w:line="360" w:lineRule="auto"/>
        <w:rPr>
          <w:rFonts w:eastAsia="Times New Roman" w:cs="Times New Roman"/>
          <w:b/>
          <w:i/>
          <w:szCs w:val="24"/>
        </w:rPr>
      </w:pPr>
      <w:r w:rsidRPr="009F160E">
        <w:rPr>
          <w:rFonts w:eastAsia="Times New Roman" w:cs="Times New Roman"/>
          <w:b/>
          <w:i/>
          <w:szCs w:val="24"/>
        </w:rPr>
        <w:t xml:space="preserve">Signed for and on behalf of </w:t>
      </w:r>
    </w:p>
    <w:p w14:paraId="5711AA1A" w14:textId="77777777" w:rsidR="009F160E" w:rsidRPr="009F160E" w:rsidRDefault="009F160E" w:rsidP="009F160E">
      <w:pPr>
        <w:spacing w:after="0" w:line="360" w:lineRule="auto"/>
        <w:rPr>
          <w:rFonts w:eastAsia="Times New Roman" w:cs="Times New Roman"/>
          <w:b/>
          <w:i/>
          <w:szCs w:val="24"/>
        </w:rPr>
      </w:pPr>
    </w:p>
    <w:p w14:paraId="5BB77CDD" w14:textId="77777777" w:rsidR="009F160E" w:rsidRPr="009F160E" w:rsidRDefault="009F160E" w:rsidP="009F160E">
      <w:pPr>
        <w:spacing w:after="0" w:line="360" w:lineRule="auto"/>
        <w:rPr>
          <w:rFonts w:eastAsia="Times New Roman" w:cs="Times New Roman"/>
          <w:b/>
          <w:szCs w:val="24"/>
        </w:rPr>
      </w:pPr>
      <w:r w:rsidRPr="009F160E">
        <w:rPr>
          <w:rFonts w:eastAsia="Times New Roman" w:cs="Times New Roman"/>
          <w:b/>
          <w:szCs w:val="24"/>
        </w:rPr>
        <w:t>Signature</w:t>
      </w:r>
    </w:p>
    <w:p w14:paraId="293E06D3" w14:textId="77777777" w:rsidR="009F160E" w:rsidRPr="009F160E" w:rsidRDefault="009F160E" w:rsidP="009F160E">
      <w:pPr>
        <w:spacing w:after="0" w:line="360" w:lineRule="auto"/>
        <w:rPr>
          <w:rFonts w:eastAsia="Times New Roman" w:cs="Times New Roman"/>
          <w:b/>
          <w:szCs w:val="24"/>
        </w:rPr>
      </w:pPr>
    </w:p>
    <w:p w14:paraId="4B988CA4" w14:textId="77777777" w:rsidR="009F160E" w:rsidRPr="009F160E" w:rsidRDefault="009F160E" w:rsidP="009F160E">
      <w:pPr>
        <w:spacing w:after="0" w:line="360" w:lineRule="auto"/>
        <w:rPr>
          <w:rFonts w:eastAsia="Times New Roman" w:cs="Times New Roman"/>
          <w:b/>
          <w:szCs w:val="24"/>
        </w:rPr>
      </w:pPr>
    </w:p>
    <w:p w14:paraId="36584E10" w14:textId="77777777" w:rsidR="009F160E" w:rsidRPr="009F160E" w:rsidRDefault="009F160E" w:rsidP="009F160E">
      <w:pPr>
        <w:spacing w:after="0" w:line="360" w:lineRule="auto"/>
        <w:rPr>
          <w:rFonts w:eastAsia="Times New Roman" w:cs="Times New Roman"/>
          <w:b/>
          <w:szCs w:val="24"/>
        </w:rPr>
      </w:pPr>
      <w:r w:rsidRPr="009F160E">
        <w:rPr>
          <w:rFonts w:eastAsia="Times New Roman" w:cs="Times New Roman"/>
          <w:b/>
          <w:szCs w:val="24"/>
        </w:rPr>
        <w:t>Date</w:t>
      </w:r>
    </w:p>
    <w:p w14:paraId="74B79786" w14:textId="77777777" w:rsidR="009F160E" w:rsidRPr="009F160E" w:rsidRDefault="009F160E" w:rsidP="009F160E">
      <w:pPr>
        <w:spacing w:after="0" w:line="360" w:lineRule="auto"/>
        <w:rPr>
          <w:rFonts w:eastAsia="Times New Roman" w:cs="Times New Roman"/>
          <w:b/>
          <w:szCs w:val="24"/>
        </w:rPr>
      </w:pPr>
    </w:p>
    <w:p w14:paraId="423CD61B" w14:textId="77777777" w:rsidR="009F160E" w:rsidRPr="009F160E" w:rsidRDefault="009F160E" w:rsidP="009F160E">
      <w:pPr>
        <w:spacing w:after="0" w:line="360" w:lineRule="auto"/>
        <w:rPr>
          <w:rFonts w:eastAsia="Times New Roman" w:cs="Times New Roman"/>
          <w:b/>
          <w:szCs w:val="24"/>
        </w:rPr>
      </w:pPr>
    </w:p>
    <w:p w14:paraId="32EEAF56" w14:textId="77777777" w:rsidR="009F160E" w:rsidRPr="009F160E" w:rsidRDefault="009F160E" w:rsidP="009F160E">
      <w:pPr>
        <w:spacing w:after="0" w:line="360" w:lineRule="auto"/>
        <w:rPr>
          <w:rFonts w:eastAsia="Times New Roman" w:cs="Times New Roman"/>
          <w:b/>
          <w:szCs w:val="24"/>
        </w:rPr>
      </w:pPr>
      <w:r w:rsidRPr="009F160E">
        <w:rPr>
          <w:rFonts w:eastAsia="Times New Roman" w:cs="Times New Roman"/>
          <w:b/>
          <w:szCs w:val="24"/>
        </w:rPr>
        <w:t>Designation</w:t>
      </w:r>
    </w:p>
    <w:p w14:paraId="09C954CE" w14:textId="77777777" w:rsidR="009F160E" w:rsidRPr="009F160E" w:rsidRDefault="009F160E" w:rsidP="009F160E">
      <w:pPr>
        <w:spacing w:after="0" w:line="360" w:lineRule="auto"/>
        <w:rPr>
          <w:rFonts w:eastAsia="Times New Roman" w:cs="Times New Roman"/>
          <w:b/>
          <w:szCs w:val="24"/>
        </w:rPr>
      </w:pPr>
    </w:p>
    <w:p w14:paraId="0BC71F28" w14:textId="77777777" w:rsidR="009F160E" w:rsidRPr="009F160E" w:rsidRDefault="009F160E" w:rsidP="009F160E">
      <w:pPr>
        <w:spacing w:after="0" w:line="360" w:lineRule="auto"/>
        <w:rPr>
          <w:rFonts w:eastAsia="Times New Roman" w:cs="Times New Roman"/>
          <w:b/>
          <w:szCs w:val="24"/>
        </w:rPr>
      </w:pPr>
    </w:p>
    <w:p w14:paraId="7102FD79" w14:textId="77777777" w:rsidR="009F160E" w:rsidRPr="009F160E" w:rsidRDefault="009F160E" w:rsidP="009F160E">
      <w:pPr>
        <w:spacing w:after="0" w:line="360" w:lineRule="auto"/>
        <w:rPr>
          <w:rFonts w:eastAsia="Times New Roman" w:cs="Times New Roman"/>
          <w:b/>
          <w:szCs w:val="24"/>
        </w:rPr>
      </w:pPr>
    </w:p>
    <w:p w14:paraId="1AC2F0CA" w14:textId="4AAE39C3" w:rsidR="009F160E" w:rsidRPr="009F160E" w:rsidRDefault="009F160E" w:rsidP="009F160E">
      <w:pPr>
        <w:spacing w:after="0" w:line="360" w:lineRule="auto"/>
        <w:rPr>
          <w:rFonts w:eastAsia="Times New Roman" w:cs="Times New Roman"/>
          <w:b/>
          <w:szCs w:val="24"/>
        </w:rPr>
      </w:pPr>
      <w:r w:rsidRPr="009F160E">
        <w:rPr>
          <w:rFonts w:eastAsia="Times New Roman" w:cs="Times New Roman"/>
          <w:b/>
          <w:szCs w:val="24"/>
        </w:rPr>
        <w:t>Signed for and on behalf of NHS</w:t>
      </w:r>
      <w:r w:rsidR="00D23CF1">
        <w:rPr>
          <w:rFonts w:eastAsia="Times New Roman" w:cs="Times New Roman"/>
          <w:b/>
          <w:szCs w:val="24"/>
        </w:rPr>
        <w:t xml:space="preserve"> England</w:t>
      </w:r>
      <w:r w:rsidR="001C775D">
        <w:rPr>
          <w:rFonts w:eastAsia="Times New Roman" w:cs="Times New Roman"/>
          <w:b/>
          <w:szCs w:val="24"/>
        </w:rPr>
        <w:t xml:space="preserve"> &amp; NHS Improvement</w:t>
      </w:r>
    </w:p>
    <w:p w14:paraId="439C232A" w14:textId="77777777" w:rsidR="009F160E" w:rsidRPr="009F160E" w:rsidRDefault="009F160E" w:rsidP="009F160E">
      <w:pPr>
        <w:spacing w:after="0" w:line="360" w:lineRule="auto"/>
        <w:rPr>
          <w:rFonts w:eastAsia="Times New Roman" w:cs="Times New Roman"/>
          <w:b/>
          <w:szCs w:val="24"/>
        </w:rPr>
      </w:pPr>
    </w:p>
    <w:p w14:paraId="57FDDB6C" w14:textId="77777777" w:rsidR="009F160E" w:rsidRPr="009F160E" w:rsidRDefault="009F160E" w:rsidP="009F160E">
      <w:pPr>
        <w:spacing w:after="0" w:line="360" w:lineRule="auto"/>
        <w:rPr>
          <w:rFonts w:eastAsia="Times New Roman" w:cs="Times New Roman"/>
          <w:b/>
          <w:szCs w:val="24"/>
        </w:rPr>
      </w:pPr>
    </w:p>
    <w:p w14:paraId="40D79DEB" w14:textId="1BD17281" w:rsidR="009F160E" w:rsidRPr="009F160E" w:rsidRDefault="009F160E" w:rsidP="009F160E">
      <w:pPr>
        <w:spacing w:after="0" w:line="360" w:lineRule="auto"/>
        <w:rPr>
          <w:rFonts w:eastAsia="Times New Roman" w:cs="Times New Roman"/>
          <w:b/>
          <w:szCs w:val="24"/>
        </w:rPr>
      </w:pPr>
      <w:r w:rsidRPr="009F160E">
        <w:rPr>
          <w:rFonts w:eastAsia="Times New Roman" w:cs="Times New Roman"/>
          <w:b/>
          <w:szCs w:val="24"/>
        </w:rPr>
        <w:t>Signature</w:t>
      </w:r>
      <w:r w:rsidR="001C775D">
        <w:rPr>
          <w:rFonts w:eastAsia="Times New Roman" w:cs="Times New Roman"/>
          <w:b/>
          <w:szCs w:val="24"/>
        </w:rPr>
        <w:t xml:space="preserve"> </w:t>
      </w:r>
      <w:r w:rsidR="001C775D">
        <w:rPr>
          <w:noProof/>
        </w:rPr>
        <w:drawing>
          <wp:inline distT="0" distB="0" distL="0" distR="0" wp14:anchorId="4D227363" wp14:editId="55CD2199">
            <wp:extent cx="1074420" cy="410369"/>
            <wp:effectExtent l="0" t="0" r="0" b="8890"/>
            <wp:docPr id="1" name="Picture 1" descr="J Ja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078726" cy="412014"/>
                    </a:xfrm>
                    <a:prstGeom prst="rect">
                      <a:avLst/>
                    </a:prstGeom>
                  </pic:spPr>
                </pic:pic>
              </a:graphicData>
            </a:graphic>
          </wp:inline>
        </w:drawing>
      </w:r>
    </w:p>
    <w:p w14:paraId="2AD2187D" w14:textId="39522DD0" w:rsidR="009F160E" w:rsidRPr="009F160E" w:rsidRDefault="001C775D" w:rsidP="009F160E">
      <w:pPr>
        <w:spacing w:after="0" w:line="360" w:lineRule="auto"/>
        <w:rPr>
          <w:rFonts w:eastAsia="Times New Roman" w:cs="Times New Roman"/>
          <w:b/>
          <w:szCs w:val="24"/>
        </w:rPr>
      </w:pPr>
      <w:r>
        <w:rPr>
          <w:rFonts w:eastAsia="Times New Roman" w:cs="Times New Roman"/>
          <w:b/>
          <w:szCs w:val="24"/>
        </w:rPr>
        <w:t>Jackie Jasper, Contract Manager</w:t>
      </w:r>
    </w:p>
    <w:p w14:paraId="59023E43" w14:textId="77777777" w:rsidR="009F160E" w:rsidRPr="009F160E" w:rsidRDefault="009F160E" w:rsidP="009F160E">
      <w:pPr>
        <w:spacing w:after="0" w:line="360" w:lineRule="auto"/>
        <w:rPr>
          <w:rFonts w:eastAsia="Times New Roman" w:cs="Times New Roman"/>
          <w:b/>
          <w:szCs w:val="24"/>
        </w:rPr>
      </w:pPr>
    </w:p>
    <w:p w14:paraId="461B7BC9" w14:textId="37CCE942" w:rsidR="009F160E" w:rsidRPr="009F160E" w:rsidRDefault="009F160E" w:rsidP="009F160E">
      <w:pPr>
        <w:spacing w:after="0" w:line="360" w:lineRule="auto"/>
        <w:rPr>
          <w:rFonts w:eastAsia="Times New Roman" w:cs="Times New Roman"/>
          <w:b/>
          <w:szCs w:val="24"/>
        </w:rPr>
      </w:pPr>
      <w:r w:rsidRPr="009F160E">
        <w:rPr>
          <w:rFonts w:eastAsia="Times New Roman" w:cs="Times New Roman"/>
          <w:b/>
          <w:szCs w:val="24"/>
        </w:rPr>
        <w:t>Date</w:t>
      </w:r>
      <w:r w:rsidR="001C775D">
        <w:rPr>
          <w:rFonts w:eastAsia="Times New Roman" w:cs="Times New Roman"/>
          <w:b/>
          <w:szCs w:val="24"/>
        </w:rPr>
        <w:t xml:space="preserve"> 22.3.23</w:t>
      </w:r>
    </w:p>
    <w:p w14:paraId="2768B9FE" w14:textId="77777777" w:rsidR="009F160E" w:rsidRPr="009F160E" w:rsidRDefault="009F160E" w:rsidP="009F160E">
      <w:pPr>
        <w:spacing w:after="0" w:line="360" w:lineRule="auto"/>
        <w:rPr>
          <w:rFonts w:eastAsia="Times New Roman" w:cs="Times New Roman"/>
          <w:b/>
          <w:szCs w:val="24"/>
        </w:rPr>
      </w:pPr>
    </w:p>
    <w:p w14:paraId="77B4154B" w14:textId="77777777" w:rsidR="009F160E" w:rsidRPr="009F160E" w:rsidRDefault="009F160E" w:rsidP="009F160E">
      <w:pPr>
        <w:spacing w:after="0" w:line="360" w:lineRule="auto"/>
        <w:rPr>
          <w:rFonts w:eastAsia="Times New Roman" w:cs="Times New Roman"/>
          <w:b/>
          <w:szCs w:val="24"/>
        </w:rPr>
      </w:pPr>
    </w:p>
    <w:p w14:paraId="52A1DE26" w14:textId="77777777" w:rsidR="009F160E" w:rsidRPr="009F160E" w:rsidRDefault="009F160E" w:rsidP="009F160E">
      <w:pPr>
        <w:spacing w:after="0" w:line="360" w:lineRule="auto"/>
        <w:rPr>
          <w:rFonts w:eastAsia="Times New Roman" w:cs="Times New Roman"/>
          <w:b/>
          <w:szCs w:val="24"/>
        </w:rPr>
      </w:pPr>
      <w:r w:rsidRPr="009F160E">
        <w:rPr>
          <w:rFonts w:eastAsia="Times New Roman" w:cs="Times New Roman"/>
          <w:b/>
          <w:szCs w:val="24"/>
        </w:rPr>
        <w:t>Designation</w:t>
      </w:r>
    </w:p>
    <w:bookmarkEnd w:id="0"/>
    <w:p w14:paraId="26D4340B" w14:textId="77777777" w:rsidR="0029748F" w:rsidRDefault="0029748F"/>
    <w:sectPr w:rsidR="0029748F" w:rsidSect="009F160E">
      <w:headerReference w:type="default" r:id="rId11"/>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4C25" w14:textId="77777777" w:rsidR="00351466" w:rsidRDefault="00351466" w:rsidP="009F160E">
      <w:pPr>
        <w:spacing w:after="0" w:line="240" w:lineRule="auto"/>
      </w:pPr>
      <w:r>
        <w:separator/>
      </w:r>
    </w:p>
  </w:endnote>
  <w:endnote w:type="continuationSeparator" w:id="0">
    <w:p w14:paraId="627C50C5" w14:textId="77777777" w:rsidR="00351466" w:rsidRDefault="00351466" w:rsidP="009F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5E2B" w14:textId="77777777" w:rsidR="00351466" w:rsidRDefault="00351466" w:rsidP="009F160E">
      <w:pPr>
        <w:spacing w:after="0" w:line="240" w:lineRule="auto"/>
      </w:pPr>
      <w:r>
        <w:separator/>
      </w:r>
    </w:p>
  </w:footnote>
  <w:footnote w:type="continuationSeparator" w:id="0">
    <w:p w14:paraId="5C095AAC" w14:textId="77777777" w:rsidR="00351466" w:rsidRDefault="00351466" w:rsidP="009F1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F0D3" w14:textId="77777777" w:rsidR="00FE155F" w:rsidRDefault="00FE155F" w:rsidP="00FE1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7C0"/>
    <w:multiLevelType w:val="multilevel"/>
    <w:tmpl w:val="010A2110"/>
    <w:lvl w:ilvl="0">
      <w:start w:val="1"/>
      <w:numFmt w:val="decimal"/>
      <w:pStyle w:val="BulletNor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B926CDB"/>
    <w:multiLevelType w:val="hybridMultilevel"/>
    <w:tmpl w:val="BDB44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11661764">
    <w:abstractNumId w:val="0"/>
  </w:num>
  <w:num w:numId="2" w16cid:durableId="1022046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0E"/>
    <w:rsid w:val="00023DDE"/>
    <w:rsid w:val="00035930"/>
    <w:rsid w:val="00084BFA"/>
    <w:rsid w:val="001C775D"/>
    <w:rsid w:val="002471E7"/>
    <w:rsid w:val="0029748F"/>
    <w:rsid w:val="002D3206"/>
    <w:rsid w:val="00351466"/>
    <w:rsid w:val="00397AB9"/>
    <w:rsid w:val="0054391E"/>
    <w:rsid w:val="00597858"/>
    <w:rsid w:val="005C0FB7"/>
    <w:rsid w:val="005C699C"/>
    <w:rsid w:val="005E31E8"/>
    <w:rsid w:val="007320A3"/>
    <w:rsid w:val="007627AD"/>
    <w:rsid w:val="009F160E"/>
    <w:rsid w:val="00B433A0"/>
    <w:rsid w:val="00C01F32"/>
    <w:rsid w:val="00C46A4F"/>
    <w:rsid w:val="00C7636C"/>
    <w:rsid w:val="00CE78B0"/>
    <w:rsid w:val="00D01ED6"/>
    <w:rsid w:val="00D23CF1"/>
    <w:rsid w:val="00EF2659"/>
    <w:rsid w:val="00F43EA9"/>
    <w:rsid w:val="00FA74CC"/>
    <w:rsid w:val="00FC4551"/>
    <w:rsid w:val="00FE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9A91B"/>
  <w15:docId w15:val="{17E82D21-37A2-421A-9978-8E8921D5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60E"/>
  </w:style>
  <w:style w:type="paragraph" w:customStyle="1" w:styleId="BulletNormal">
    <w:name w:val="BulletNormal"/>
    <w:basedOn w:val="Normal"/>
    <w:rsid w:val="009F160E"/>
    <w:pPr>
      <w:numPr>
        <w:numId w:val="1"/>
      </w:numPr>
      <w:spacing w:before="240" w:after="0" w:line="360" w:lineRule="auto"/>
    </w:pPr>
    <w:rPr>
      <w:rFonts w:eastAsia="Times New Roman" w:cs="Times New Roman"/>
      <w:szCs w:val="24"/>
    </w:rPr>
  </w:style>
  <w:style w:type="paragraph" w:styleId="Footer">
    <w:name w:val="footer"/>
    <w:basedOn w:val="Normal"/>
    <w:link w:val="FooterChar"/>
    <w:uiPriority w:val="99"/>
    <w:unhideWhenUsed/>
    <w:rsid w:val="009F1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60E"/>
  </w:style>
  <w:style w:type="character" w:styleId="CommentReference">
    <w:name w:val="annotation reference"/>
    <w:basedOn w:val="DefaultParagraphFont"/>
    <w:uiPriority w:val="99"/>
    <w:semiHidden/>
    <w:unhideWhenUsed/>
    <w:rsid w:val="00084BFA"/>
    <w:rPr>
      <w:sz w:val="16"/>
      <w:szCs w:val="16"/>
    </w:rPr>
  </w:style>
  <w:style w:type="paragraph" w:styleId="CommentText">
    <w:name w:val="annotation text"/>
    <w:basedOn w:val="Normal"/>
    <w:link w:val="CommentTextChar"/>
    <w:uiPriority w:val="99"/>
    <w:semiHidden/>
    <w:unhideWhenUsed/>
    <w:rsid w:val="00084BFA"/>
    <w:pPr>
      <w:spacing w:line="240" w:lineRule="auto"/>
    </w:pPr>
    <w:rPr>
      <w:sz w:val="20"/>
      <w:szCs w:val="20"/>
    </w:rPr>
  </w:style>
  <w:style w:type="character" w:customStyle="1" w:styleId="CommentTextChar">
    <w:name w:val="Comment Text Char"/>
    <w:basedOn w:val="DefaultParagraphFont"/>
    <w:link w:val="CommentText"/>
    <w:uiPriority w:val="99"/>
    <w:semiHidden/>
    <w:rsid w:val="00084BFA"/>
    <w:rPr>
      <w:sz w:val="20"/>
      <w:szCs w:val="20"/>
    </w:rPr>
  </w:style>
  <w:style w:type="paragraph" w:styleId="CommentSubject">
    <w:name w:val="annotation subject"/>
    <w:basedOn w:val="CommentText"/>
    <w:next w:val="CommentText"/>
    <w:link w:val="CommentSubjectChar"/>
    <w:uiPriority w:val="99"/>
    <w:semiHidden/>
    <w:unhideWhenUsed/>
    <w:rsid w:val="00084BFA"/>
    <w:rPr>
      <w:b/>
      <w:bCs/>
    </w:rPr>
  </w:style>
  <w:style w:type="character" w:customStyle="1" w:styleId="CommentSubjectChar">
    <w:name w:val="Comment Subject Char"/>
    <w:basedOn w:val="CommentTextChar"/>
    <w:link w:val="CommentSubject"/>
    <w:uiPriority w:val="99"/>
    <w:semiHidden/>
    <w:rsid w:val="00084BFA"/>
    <w:rPr>
      <w:b/>
      <w:bCs/>
      <w:sz w:val="20"/>
      <w:szCs w:val="20"/>
    </w:rPr>
  </w:style>
  <w:style w:type="paragraph" w:styleId="BalloonText">
    <w:name w:val="Balloon Text"/>
    <w:basedOn w:val="Normal"/>
    <w:link w:val="BalloonTextChar"/>
    <w:uiPriority w:val="99"/>
    <w:semiHidden/>
    <w:unhideWhenUsed/>
    <w:rsid w:val="0008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03fa9886-9807-4dc7-af40-219d1deff5e0" xsi:nil="true"/>
    <_ip_UnifiedCompliancePolicyProperties xmlns="http://schemas.microsoft.com/sharepoint/v3" xsi:nil="true"/>
    <lcf76f155ced4ddcb4097134ff3c332f xmlns="03fa9886-9807-4dc7-af40-219d1deff5e0">
      <Terms xmlns="http://schemas.microsoft.com/office/infopath/2007/PartnerControls"/>
    </lcf76f155ced4ddcb4097134ff3c332f>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EBE845F5B964CB915EC025DAFF7DB" ma:contentTypeVersion="41" ma:contentTypeDescription="Create a new document." ma:contentTypeScope="" ma:versionID="847159ae85476f5a91304179f455e48d">
  <xsd:schema xmlns:xsd="http://www.w3.org/2001/XMLSchema" xmlns:xs="http://www.w3.org/2001/XMLSchema" xmlns:p="http://schemas.microsoft.com/office/2006/metadata/properties" xmlns:ns1="http://schemas.microsoft.com/sharepoint/v3" xmlns:ns2="6224ef95-dc50-4a9e-815d-64e4bff1c29e" xmlns:ns3="00c14b61-9b04-497a-9415-f388944be80e" xmlns:ns4="03fa9886-9807-4dc7-af40-219d1deff5e0" xmlns:ns5="cccaf3ac-2de9-44d4-aa31-54302fceb5f7" targetNamespace="http://schemas.microsoft.com/office/2006/metadata/properties" ma:root="true" ma:fieldsID="95fb3db001aa1443b16d1ea1f59e0900" ns1:_="" ns2:_="" ns3:_="" ns4:_="" ns5:_="">
    <xsd:import namespace="http://schemas.microsoft.com/sharepoint/v3"/>
    <xsd:import namespace="6224ef95-dc50-4a9e-815d-64e4bff1c29e"/>
    <xsd:import namespace="00c14b61-9b04-497a-9415-f388944be80e"/>
    <xsd:import namespace="03fa9886-9807-4dc7-af40-219d1deff5e0"/>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LengthInSeconds" minOccurs="0"/>
                <xsd:element ref="ns4:Review_x0020_Date"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4ef95-dc50-4a9e-815d-64e4bff1c2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14b61-9b04-497a-9415-f388944be8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9886-9807-4dc7-af40-219d1deff5e0" elementFormDefault="qualified">
    <xsd:import namespace="http://schemas.microsoft.com/office/2006/documentManagement/types"/>
    <xsd:import namespace="http://schemas.microsoft.com/office/infopath/2007/PartnerControls"/>
    <xsd:element name="MediaLengthInSeconds" ma:index="14" nillable="true" ma:displayName="MediaLengthInSeconds" ma:hidden="true"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9638f4-b8ed-447c-a383-7783bbbbb0d6}"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8C3BE-6A0A-428C-AAD9-C623452296DC}">
  <ds:schemaRefs>
    <ds:schemaRef ds:uri="http://schemas.microsoft.com/office/2006/metadata/properties"/>
    <ds:schemaRef ds:uri="http://schemas.microsoft.com/office/infopath/2007/PartnerControls"/>
    <ds:schemaRef ds:uri="http://schemas.microsoft.com/sharepoint/v3"/>
    <ds:schemaRef ds:uri="03fa9886-9807-4dc7-af40-219d1deff5e0"/>
    <ds:schemaRef ds:uri="cccaf3ac-2de9-44d4-aa31-54302fceb5f7"/>
  </ds:schemaRefs>
</ds:datastoreItem>
</file>

<file path=customXml/itemProps2.xml><?xml version="1.0" encoding="utf-8"?>
<ds:datastoreItem xmlns:ds="http://schemas.openxmlformats.org/officeDocument/2006/customXml" ds:itemID="{BE638EEC-E18A-4D38-B1C5-6DED804AB745}">
  <ds:schemaRefs>
    <ds:schemaRef ds:uri="http://schemas.microsoft.com/sharepoint/v3/contenttype/forms"/>
  </ds:schemaRefs>
</ds:datastoreItem>
</file>

<file path=customXml/itemProps3.xml><?xml version="1.0" encoding="utf-8"?>
<ds:datastoreItem xmlns:ds="http://schemas.openxmlformats.org/officeDocument/2006/customXml" ds:itemID="{7E116AC7-774C-44AA-9FEC-282CB50DB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24ef95-dc50-4a9e-815d-64e4bff1c29e"/>
    <ds:schemaRef ds:uri="00c14b61-9b04-497a-9415-f388944be80e"/>
    <ds:schemaRef ds:uri="03fa9886-9807-4dc7-af40-219d1deff5e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Jasper</dc:creator>
  <cp:lastModifiedBy>Matt Harvey</cp:lastModifiedBy>
  <cp:revision>4</cp:revision>
  <cp:lastPrinted>2020-05-11T12:36:00Z</cp:lastPrinted>
  <dcterms:created xsi:type="dcterms:W3CDTF">2024-02-01T09:18:00Z</dcterms:created>
  <dcterms:modified xsi:type="dcterms:W3CDTF">2024-02-01T11:46:00Z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0x01010023AEBE845F5B964CB915EC025DAFF7DB</vt:lpwstr>
  </property>
</Properties>
</file>