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56451" w14:textId="439EB0BD" w:rsidR="00D560A5" w:rsidRDefault="0005204D">
      <w:pPr>
        <w:spacing w:line="288" w:lineRule="auto"/>
        <w:rPr>
          <w:rFonts w:eastAsia="Arial" w:cstheme="minorHAnsi"/>
          <w:b/>
          <w:bCs/>
          <w:color w:val="5A913C"/>
        </w:rPr>
      </w:pPr>
      <w:r>
        <w:rPr>
          <w:rFonts w:eastAsia="Arial" w:cstheme="minorHAnsi"/>
          <w:b/>
          <w:bCs/>
          <w:color w:val="5A913C"/>
        </w:rPr>
        <w:t>Liverpool LPC –</w:t>
      </w:r>
      <w:r w:rsidR="00AC0E80">
        <w:rPr>
          <w:rFonts w:eastAsia="Arial" w:cstheme="minorHAnsi"/>
          <w:b/>
          <w:bCs/>
          <w:color w:val="5A913C"/>
        </w:rPr>
        <w:t xml:space="preserve"> </w:t>
      </w:r>
      <w:r w:rsidR="00E0102F">
        <w:rPr>
          <w:rFonts w:eastAsia="Arial" w:cstheme="minorHAnsi"/>
          <w:b/>
          <w:bCs/>
          <w:color w:val="5A913C"/>
        </w:rPr>
        <w:t>CATC and PSNC targets</w:t>
      </w:r>
      <w:r w:rsidR="00CD7C61">
        <w:rPr>
          <w:rFonts w:eastAsia="Arial" w:cstheme="minorHAnsi"/>
          <w:b/>
          <w:bCs/>
          <w:color w:val="5A913C"/>
        </w:rPr>
        <w:t xml:space="preserve"> – </w:t>
      </w:r>
      <w:r w:rsidR="00E0102F">
        <w:rPr>
          <w:rFonts w:eastAsia="Arial" w:cstheme="minorHAnsi"/>
          <w:b/>
          <w:bCs/>
          <w:color w:val="5A913C"/>
        </w:rPr>
        <w:t>16</w:t>
      </w:r>
      <w:r w:rsidR="00CD7C61">
        <w:rPr>
          <w:rFonts w:eastAsia="Arial" w:cstheme="minorHAnsi"/>
          <w:b/>
          <w:bCs/>
          <w:color w:val="5A913C"/>
        </w:rPr>
        <w:t>th</w:t>
      </w:r>
      <w:r>
        <w:rPr>
          <w:rFonts w:eastAsia="Arial" w:cstheme="minorHAnsi"/>
          <w:b/>
          <w:bCs/>
          <w:color w:val="5A913C"/>
        </w:rPr>
        <w:t xml:space="preserve"> </w:t>
      </w:r>
      <w:r w:rsidR="00E0102F">
        <w:rPr>
          <w:rFonts w:eastAsia="Arial" w:cstheme="minorHAnsi"/>
          <w:b/>
          <w:bCs/>
          <w:color w:val="5A913C"/>
        </w:rPr>
        <w:t>March</w:t>
      </w:r>
      <w:r>
        <w:rPr>
          <w:rFonts w:eastAsia="Arial" w:cstheme="minorHAnsi"/>
          <w:b/>
          <w:bCs/>
          <w:color w:val="5A913C"/>
        </w:rPr>
        <w:t xml:space="preserve"> 202</w:t>
      </w:r>
      <w:r w:rsidR="00681047">
        <w:rPr>
          <w:rFonts w:eastAsia="Arial" w:cstheme="minorHAnsi"/>
          <w:b/>
          <w:bCs/>
          <w:color w:val="5A913C"/>
        </w:rPr>
        <w:t>1</w:t>
      </w:r>
    </w:p>
    <w:tbl>
      <w:tblPr>
        <w:tblStyle w:val="TableGrid"/>
        <w:tblW w:w="7420" w:type="dxa"/>
        <w:tblLook w:val="04A0" w:firstRow="1" w:lastRow="0" w:firstColumn="1" w:lastColumn="0" w:noHBand="0" w:noVBand="1"/>
      </w:tblPr>
      <w:tblGrid>
        <w:gridCol w:w="600"/>
        <w:gridCol w:w="261"/>
        <w:gridCol w:w="448"/>
        <w:gridCol w:w="567"/>
        <w:gridCol w:w="567"/>
        <w:gridCol w:w="621"/>
        <w:gridCol w:w="387"/>
        <w:gridCol w:w="322"/>
        <w:gridCol w:w="794"/>
        <w:gridCol w:w="567"/>
        <w:gridCol w:w="709"/>
        <w:gridCol w:w="126"/>
        <w:gridCol w:w="278"/>
        <w:gridCol w:w="1015"/>
        <w:gridCol w:w="158"/>
      </w:tblGrid>
      <w:tr w:rsidR="00AC0E80" w14:paraId="76FC007C" w14:textId="77777777" w:rsidTr="00AC0E80">
        <w:tc>
          <w:tcPr>
            <w:tcW w:w="861" w:type="dxa"/>
            <w:gridSpan w:val="2"/>
            <w:shd w:val="clear" w:color="auto" w:fill="5A913C"/>
            <w:tcMar>
              <w:left w:w="108" w:type="dxa"/>
            </w:tcMar>
          </w:tcPr>
          <w:p w14:paraId="07166892" w14:textId="77777777" w:rsidR="00AC0E80" w:rsidRDefault="00AC0E80">
            <w:pPr>
              <w:spacing w:after="0" w:line="288" w:lineRule="auto"/>
              <w:rPr>
                <w:rFonts w:eastAsia="Arial" w:cstheme="minorHAnsi"/>
                <w:b/>
                <w:bCs/>
                <w:color w:val="171717" w:themeColor="background2" w:themeShade="1A"/>
                <w:sz w:val="24"/>
                <w:szCs w:val="24"/>
              </w:rPr>
            </w:pPr>
          </w:p>
        </w:tc>
        <w:tc>
          <w:tcPr>
            <w:tcW w:w="2590" w:type="dxa"/>
            <w:gridSpan w:val="5"/>
            <w:shd w:val="clear" w:color="auto" w:fill="5A913C"/>
            <w:tcMar>
              <w:left w:w="108" w:type="dxa"/>
            </w:tcMar>
          </w:tcPr>
          <w:p w14:paraId="01B66729" w14:textId="77777777" w:rsidR="00AC0E80" w:rsidRDefault="00AC0E80">
            <w:pPr>
              <w:spacing w:after="0"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Name</w:t>
            </w:r>
          </w:p>
        </w:tc>
        <w:tc>
          <w:tcPr>
            <w:tcW w:w="2518" w:type="dxa"/>
            <w:gridSpan w:val="5"/>
            <w:shd w:val="clear" w:color="auto" w:fill="5A913C"/>
            <w:tcMar>
              <w:left w:w="108" w:type="dxa"/>
            </w:tcMar>
          </w:tcPr>
          <w:p w14:paraId="4DA03343" w14:textId="77777777" w:rsidR="00AC0E80" w:rsidRDefault="00AC0E80">
            <w:pPr>
              <w:spacing w:after="0"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Designation</w:t>
            </w:r>
          </w:p>
        </w:tc>
        <w:tc>
          <w:tcPr>
            <w:tcW w:w="278" w:type="dxa"/>
            <w:vMerge w:val="restart"/>
            <w:shd w:val="clear" w:color="auto" w:fill="000000" w:themeFill="text1"/>
            <w:tcMar>
              <w:left w:w="108" w:type="dxa"/>
            </w:tcMar>
          </w:tcPr>
          <w:p w14:paraId="15DB60FE" w14:textId="77777777" w:rsidR="00AC0E80" w:rsidRDefault="00AC0E80">
            <w:pPr>
              <w:spacing w:after="0" w:line="288" w:lineRule="auto"/>
              <w:rPr>
                <w:rFonts w:eastAsia="Arial" w:cstheme="minorHAnsi"/>
                <w:b/>
                <w:bCs/>
                <w:color w:val="171717" w:themeColor="background2" w:themeShade="1A"/>
                <w:sz w:val="24"/>
                <w:szCs w:val="24"/>
              </w:rPr>
            </w:pPr>
          </w:p>
          <w:p w14:paraId="1C24BDFA" w14:textId="77777777" w:rsidR="00AC0E80" w:rsidRDefault="00AC0E80">
            <w:pPr>
              <w:spacing w:after="0"/>
              <w:rPr>
                <w:rFonts w:eastAsia="Arial" w:cstheme="minorHAnsi"/>
                <w:sz w:val="24"/>
                <w:szCs w:val="24"/>
              </w:rPr>
            </w:pPr>
          </w:p>
          <w:p w14:paraId="4898E128" w14:textId="77777777" w:rsidR="00AC0E80" w:rsidRDefault="00AC0E80">
            <w:pPr>
              <w:spacing w:after="0"/>
              <w:rPr>
                <w:rFonts w:eastAsia="Arial" w:cstheme="minorHAnsi"/>
                <w:b/>
                <w:bCs/>
                <w:color w:val="171717" w:themeColor="background2" w:themeShade="1A"/>
                <w:sz w:val="24"/>
                <w:szCs w:val="24"/>
              </w:rPr>
            </w:pPr>
          </w:p>
          <w:p w14:paraId="2C02A45C" w14:textId="77777777" w:rsidR="00AC0E80" w:rsidRDefault="00AC0E80">
            <w:pPr>
              <w:spacing w:after="0"/>
              <w:rPr>
                <w:rFonts w:eastAsia="Arial" w:cstheme="minorHAnsi"/>
                <w:b/>
                <w:bCs/>
                <w:color w:val="171717" w:themeColor="background2" w:themeShade="1A"/>
                <w:sz w:val="24"/>
                <w:szCs w:val="24"/>
              </w:rPr>
            </w:pPr>
          </w:p>
          <w:p w14:paraId="7C681551" w14:textId="77777777" w:rsidR="00AC0E80" w:rsidRDefault="00AC0E80">
            <w:pPr>
              <w:spacing w:after="0"/>
              <w:rPr>
                <w:rFonts w:eastAsia="Arial" w:cstheme="minorHAnsi"/>
                <w:b/>
                <w:bCs/>
                <w:color w:val="171717" w:themeColor="background2" w:themeShade="1A"/>
                <w:sz w:val="24"/>
                <w:szCs w:val="24"/>
              </w:rPr>
            </w:pPr>
          </w:p>
          <w:p w14:paraId="4006B199" w14:textId="77777777" w:rsidR="00AC0E80" w:rsidRDefault="00AC0E80">
            <w:pPr>
              <w:spacing w:after="0"/>
              <w:jc w:val="center"/>
              <w:rPr>
                <w:rFonts w:eastAsia="Arial" w:cstheme="minorHAnsi"/>
                <w:sz w:val="24"/>
                <w:szCs w:val="24"/>
              </w:rPr>
            </w:pPr>
          </w:p>
        </w:tc>
        <w:tc>
          <w:tcPr>
            <w:tcW w:w="1173" w:type="dxa"/>
            <w:gridSpan w:val="2"/>
            <w:shd w:val="clear" w:color="auto" w:fill="5A913C"/>
            <w:tcMar>
              <w:left w:w="108" w:type="dxa"/>
            </w:tcMar>
          </w:tcPr>
          <w:p w14:paraId="5BD80715" w14:textId="77777777" w:rsidR="00AC0E80" w:rsidRDefault="00AC0E80">
            <w:pPr>
              <w:spacing w:after="0" w:line="288" w:lineRule="auto"/>
              <w:rPr>
                <w:rFonts w:eastAsia="Arial" w:cstheme="minorHAnsi"/>
                <w:b/>
                <w:bCs/>
                <w:color w:val="171717" w:themeColor="background2" w:themeShade="1A"/>
                <w:sz w:val="24"/>
                <w:szCs w:val="24"/>
              </w:rPr>
            </w:pPr>
            <w:r>
              <w:rPr>
                <w:rFonts w:eastAsia="Arial" w:cstheme="minorHAnsi"/>
                <w:b/>
                <w:bCs/>
                <w:color w:val="171717" w:themeColor="background2" w:themeShade="1A"/>
                <w:sz w:val="24"/>
                <w:szCs w:val="24"/>
              </w:rPr>
              <w:t>Members</w:t>
            </w:r>
          </w:p>
        </w:tc>
      </w:tr>
      <w:tr w:rsidR="00AC0E80" w14:paraId="003F4F9D" w14:textId="77777777" w:rsidTr="00AC0E80">
        <w:tc>
          <w:tcPr>
            <w:tcW w:w="861" w:type="dxa"/>
            <w:gridSpan w:val="2"/>
            <w:shd w:val="clear" w:color="auto" w:fill="5A913C"/>
            <w:tcMar>
              <w:left w:w="108" w:type="dxa"/>
            </w:tcMar>
          </w:tcPr>
          <w:p w14:paraId="3CAB819E" w14:textId="77777777" w:rsidR="00AC0E80" w:rsidRDefault="00AC0E80">
            <w:pPr>
              <w:spacing w:after="0" w:line="288" w:lineRule="auto"/>
              <w:rPr>
                <w:rFonts w:eastAsia="Arial" w:cstheme="minorHAnsi"/>
                <w:b/>
                <w:bCs/>
                <w:color w:val="171717" w:themeColor="background2" w:themeShade="1A"/>
              </w:rPr>
            </w:pPr>
          </w:p>
        </w:tc>
        <w:tc>
          <w:tcPr>
            <w:tcW w:w="2590" w:type="dxa"/>
            <w:gridSpan w:val="5"/>
            <w:shd w:val="clear" w:color="auto" w:fill="auto"/>
            <w:tcMar>
              <w:left w:w="108" w:type="dxa"/>
            </w:tcMar>
          </w:tcPr>
          <w:p w14:paraId="1A986BE2" w14:textId="77777777" w:rsidR="00AC0E80" w:rsidRDefault="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Gemma Whitehead (GW)</w:t>
            </w:r>
          </w:p>
        </w:tc>
        <w:tc>
          <w:tcPr>
            <w:tcW w:w="2518" w:type="dxa"/>
            <w:gridSpan w:val="5"/>
            <w:shd w:val="clear" w:color="auto" w:fill="auto"/>
            <w:tcMar>
              <w:left w:w="108" w:type="dxa"/>
            </w:tcMar>
          </w:tcPr>
          <w:p w14:paraId="646F7CA4" w14:textId="77777777" w:rsidR="00AC0E80" w:rsidRDefault="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Member / Chair</w:t>
            </w:r>
          </w:p>
        </w:tc>
        <w:tc>
          <w:tcPr>
            <w:tcW w:w="278" w:type="dxa"/>
            <w:vMerge/>
            <w:shd w:val="clear" w:color="auto" w:fill="000000" w:themeFill="text1"/>
            <w:tcMar>
              <w:left w:w="108" w:type="dxa"/>
            </w:tcMar>
          </w:tcPr>
          <w:p w14:paraId="240D7A9E" w14:textId="77777777" w:rsidR="00AC0E80" w:rsidRDefault="00AC0E80">
            <w:pPr>
              <w:spacing w:after="0" w:line="288" w:lineRule="auto"/>
              <w:jc w:val="center"/>
              <w:rPr>
                <w:rFonts w:eastAsia="Arial" w:cstheme="minorHAnsi"/>
                <w:color w:val="171717" w:themeColor="background2" w:themeShade="1A"/>
              </w:rPr>
            </w:pPr>
          </w:p>
        </w:tc>
        <w:tc>
          <w:tcPr>
            <w:tcW w:w="1173" w:type="dxa"/>
            <w:gridSpan w:val="2"/>
            <w:shd w:val="clear" w:color="auto" w:fill="auto"/>
            <w:tcMar>
              <w:left w:w="108" w:type="dxa"/>
            </w:tcMar>
          </w:tcPr>
          <w:p w14:paraId="3425CD7A" w14:textId="4CEC1B2B" w:rsidR="00AC0E80" w:rsidRDefault="00AC0E8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r>
      <w:tr w:rsidR="00AC0E80" w14:paraId="153197C8" w14:textId="77777777" w:rsidTr="00AC0E80">
        <w:tc>
          <w:tcPr>
            <w:tcW w:w="861" w:type="dxa"/>
            <w:gridSpan w:val="2"/>
            <w:shd w:val="clear" w:color="auto" w:fill="5A913C"/>
            <w:tcMar>
              <w:left w:w="108" w:type="dxa"/>
            </w:tcMar>
          </w:tcPr>
          <w:p w14:paraId="17DDF5AE" w14:textId="77777777" w:rsidR="00AC0E80" w:rsidRDefault="00AC0E80">
            <w:pPr>
              <w:spacing w:after="0" w:line="288" w:lineRule="auto"/>
              <w:rPr>
                <w:rFonts w:eastAsia="Arial" w:cstheme="minorHAnsi"/>
                <w:b/>
                <w:bCs/>
                <w:color w:val="171717" w:themeColor="background2" w:themeShade="1A"/>
              </w:rPr>
            </w:pPr>
          </w:p>
        </w:tc>
        <w:tc>
          <w:tcPr>
            <w:tcW w:w="2590" w:type="dxa"/>
            <w:gridSpan w:val="5"/>
            <w:shd w:val="clear" w:color="auto" w:fill="auto"/>
            <w:tcMar>
              <w:left w:w="108" w:type="dxa"/>
            </w:tcMar>
          </w:tcPr>
          <w:p w14:paraId="3926DE2B" w14:textId="77777777" w:rsidR="00AC0E80" w:rsidRDefault="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Anna Mir (AM)</w:t>
            </w:r>
          </w:p>
        </w:tc>
        <w:tc>
          <w:tcPr>
            <w:tcW w:w="2518" w:type="dxa"/>
            <w:gridSpan w:val="5"/>
            <w:shd w:val="clear" w:color="auto" w:fill="auto"/>
            <w:tcMar>
              <w:left w:w="108" w:type="dxa"/>
            </w:tcMar>
          </w:tcPr>
          <w:p w14:paraId="2325E42E" w14:textId="77777777" w:rsidR="00AC0E80" w:rsidRDefault="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Member / Vice Chair</w:t>
            </w:r>
          </w:p>
        </w:tc>
        <w:tc>
          <w:tcPr>
            <w:tcW w:w="278" w:type="dxa"/>
            <w:vMerge/>
            <w:shd w:val="clear" w:color="auto" w:fill="000000" w:themeFill="text1"/>
            <w:tcMar>
              <w:left w:w="108" w:type="dxa"/>
            </w:tcMar>
          </w:tcPr>
          <w:p w14:paraId="7FAF8C7A" w14:textId="77777777" w:rsidR="00AC0E80" w:rsidRDefault="00AC0E80">
            <w:pPr>
              <w:spacing w:after="0" w:line="288" w:lineRule="auto"/>
              <w:jc w:val="center"/>
              <w:rPr>
                <w:rFonts w:eastAsia="Arial" w:cstheme="minorHAnsi"/>
                <w:color w:val="171717" w:themeColor="background2" w:themeShade="1A"/>
              </w:rPr>
            </w:pPr>
          </w:p>
        </w:tc>
        <w:tc>
          <w:tcPr>
            <w:tcW w:w="1173" w:type="dxa"/>
            <w:gridSpan w:val="2"/>
            <w:shd w:val="clear" w:color="auto" w:fill="FF0000"/>
            <w:tcMar>
              <w:left w:w="108" w:type="dxa"/>
            </w:tcMar>
          </w:tcPr>
          <w:p w14:paraId="0CAD2760" w14:textId="1AEB42AB" w:rsidR="00AC0E80" w:rsidRDefault="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x</w:t>
            </w:r>
          </w:p>
        </w:tc>
      </w:tr>
      <w:tr w:rsidR="00AC0E80" w14:paraId="628BFC4A" w14:textId="77777777" w:rsidTr="00AC0E80">
        <w:tc>
          <w:tcPr>
            <w:tcW w:w="861" w:type="dxa"/>
            <w:gridSpan w:val="2"/>
            <w:shd w:val="clear" w:color="auto" w:fill="5A913C"/>
            <w:tcMar>
              <w:left w:w="108" w:type="dxa"/>
            </w:tcMar>
          </w:tcPr>
          <w:p w14:paraId="2A98A33B" w14:textId="77777777" w:rsidR="00AC0E80" w:rsidRDefault="00AC0E80">
            <w:pPr>
              <w:spacing w:after="0" w:line="288" w:lineRule="auto"/>
              <w:rPr>
                <w:rFonts w:eastAsia="Arial" w:cstheme="minorHAnsi"/>
                <w:b/>
                <w:bCs/>
                <w:color w:val="171717" w:themeColor="background2" w:themeShade="1A"/>
              </w:rPr>
            </w:pPr>
          </w:p>
        </w:tc>
        <w:tc>
          <w:tcPr>
            <w:tcW w:w="2590" w:type="dxa"/>
            <w:gridSpan w:val="5"/>
            <w:shd w:val="clear" w:color="auto" w:fill="auto"/>
            <w:tcMar>
              <w:left w:w="108" w:type="dxa"/>
            </w:tcMar>
          </w:tcPr>
          <w:p w14:paraId="3CBAE487" w14:textId="77777777" w:rsidR="00AC0E80" w:rsidRDefault="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James Forshaw (JF)</w:t>
            </w:r>
          </w:p>
        </w:tc>
        <w:tc>
          <w:tcPr>
            <w:tcW w:w="2518" w:type="dxa"/>
            <w:gridSpan w:val="5"/>
            <w:shd w:val="clear" w:color="auto" w:fill="auto"/>
            <w:tcMar>
              <w:left w:w="108" w:type="dxa"/>
            </w:tcMar>
          </w:tcPr>
          <w:p w14:paraId="68DDDD91" w14:textId="77777777" w:rsidR="00AC0E80" w:rsidRDefault="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Member / Treasurer</w:t>
            </w:r>
          </w:p>
        </w:tc>
        <w:tc>
          <w:tcPr>
            <w:tcW w:w="278" w:type="dxa"/>
            <w:vMerge/>
            <w:shd w:val="clear" w:color="auto" w:fill="000000" w:themeFill="text1"/>
            <w:tcMar>
              <w:left w:w="108" w:type="dxa"/>
            </w:tcMar>
          </w:tcPr>
          <w:p w14:paraId="2289EB4E" w14:textId="77777777" w:rsidR="00AC0E80" w:rsidRDefault="00AC0E80">
            <w:pPr>
              <w:spacing w:after="0" w:line="288" w:lineRule="auto"/>
              <w:jc w:val="center"/>
              <w:rPr>
                <w:rFonts w:eastAsia="Arial" w:cstheme="minorHAnsi"/>
                <w:color w:val="171717" w:themeColor="background2" w:themeShade="1A"/>
              </w:rPr>
            </w:pPr>
          </w:p>
        </w:tc>
        <w:tc>
          <w:tcPr>
            <w:tcW w:w="1173" w:type="dxa"/>
            <w:gridSpan w:val="2"/>
            <w:shd w:val="clear" w:color="auto" w:fill="auto"/>
            <w:tcMar>
              <w:left w:w="108" w:type="dxa"/>
            </w:tcMar>
          </w:tcPr>
          <w:p w14:paraId="2014CAD5" w14:textId="2A5EDDD9" w:rsidR="00AC0E80" w:rsidRDefault="00AC0E8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r>
      <w:tr w:rsidR="00AC0E80" w14:paraId="5365BC8E" w14:textId="77777777" w:rsidTr="00AC0E80">
        <w:tc>
          <w:tcPr>
            <w:tcW w:w="861" w:type="dxa"/>
            <w:gridSpan w:val="2"/>
            <w:shd w:val="clear" w:color="auto" w:fill="5A913C"/>
            <w:tcMar>
              <w:left w:w="108" w:type="dxa"/>
            </w:tcMar>
          </w:tcPr>
          <w:p w14:paraId="2F5A9A65" w14:textId="77777777" w:rsidR="00AC0E80" w:rsidRDefault="00AC0E80">
            <w:pPr>
              <w:spacing w:after="0" w:line="288" w:lineRule="auto"/>
              <w:rPr>
                <w:rFonts w:eastAsia="Arial" w:cstheme="minorHAnsi"/>
                <w:b/>
                <w:bCs/>
                <w:color w:val="171717" w:themeColor="background2" w:themeShade="1A"/>
              </w:rPr>
            </w:pPr>
          </w:p>
        </w:tc>
        <w:tc>
          <w:tcPr>
            <w:tcW w:w="2590" w:type="dxa"/>
            <w:gridSpan w:val="5"/>
            <w:shd w:val="clear" w:color="auto" w:fill="auto"/>
            <w:tcMar>
              <w:left w:w="108" w:type="dxa"/>
            </w:tcMar>
          </w:tcPr>
          <w:p w14:paraId="41E1E3AB" w14:textId="77777777" w:rsidR="00AC0E80" w:rsidRDefault="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Dave Sanchez (DS)</w:t>
            </w:r>
          </w:p>
        </w:tc>
        <w:tc>
          <w:tcPr>
            <w:tcW w:w="2518" w:type="dxa"/>
            <w:gridSpan w:val="5"/>
            <w:shd w:val="clear" w:color="auto" w:fill="auto"/>
            <w:tcMar>
              <w:left w:w="108" w:type="dxa"/>
            </w:tcMar>
          </w:tcPr>
          <w:p w14:paraId="11E7DBD5" w14:textId="77777777" w:rsidR="00AC0E80" w:rsidRDefault="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Member</w:t>
            </w:r>
          </w:p>
        </w:tc>
        <w:tc>
          <w:tcPr>
            <w:tcW w:w="278" w:type="dxa"/>
            <w:vMerge/>
            <w:shd w:val="clear" w:color="auto" w:fill="000000" w:themeFill="text1"/>
            <w:tcMar>
              <w:left w:w="108" w:type="dxa"/>
            </w:tcMar>
          </w:tcPr>
          <w:p w14:paraId="06E94383" w14:textId="77777777" w:rsidR="00AC0E80" w:rsidRDefault="00AC0E80">
            <w:pPr>
              <w:spacing w:after="0" w:line="288" w:lineRule="auto"/>
              <w:jc w:val="center"/>
              <w:rPr>
                <w:rFonts w:eastAsia="Arial" w:cstheme="minorHAnsi"/>
                <w:color w:val="171717" w:themeColor="background2" w:themeShade="1A"/>
              </w:rPr>
            </w:pPr>
          </w:p>
        </w:tc>
        <w:tc>
          <w:tcPr>
            <w:tcW w:w="1173" w:type="dxa"/>
            <w:gridSpan w:val="2"/>
            <w:shd w:val="clear" w:color="auto" w:fill="auto"/>
            <w:tcMar>
              <w:left w:w="108" w:type="dxa"/>
            </w:tcMar>
          </w:tcPr>
          <w:p w14:paraId="3DCFB6DB" w14:textId="66151058" w:rsidR="00AC0E80" w:rsidRDefault="00AC0E8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r>
      <w:tr w:rsidR="00AC0E80" w14:paraId="234BB7CC" w14:textId="77777777" w:rsidTr="00AC0E80">
        <w:tc>
          <w:tcPr>
            <w:tcW w:w="861" w:type="dxa"/>
            <w:gridSpan w:val="2"/>
            <w:shd w:val="clear" w:color="auto" w:fill="5A913C"/>
            <w:tcMar>
              <w:left w:w="108" w:type="dxa"/>
            </w:tcMar>
          </w:tcPr>
          <w:p w14:paraId="00FF8794" w14:textId="77777777" w:rsidR="00AC0E80" w:rsidRDefault="00AC0E80">
            <w:pPr>
              <w:spacing w:after="0" w:line="288" w:lineRule="auto"/>
              <w:rPr>
                <w:rFonts w:eastAsia="Arial" w:cstheme="minorHAnsi"/>
                <w:b/>
                <w:bCs/>
                <w:color w:val="171717" w:themeColor="background2" w:themeShade="1A"/>
              </w:rPr>
            </w:pPr>
          </w:p>
        </w:tc>
        <w:tc>
          <w:tcPr>
            <w:tcW w:w="2590" w:type="dxa"/>
            <w:gridSpan w:val="5"/>
            <w:shd w:val="clear" w:color="auto" w:fill="auto"/>
            <w:tcMar>
              <w:left w:w="108" w:type="dxa"/>
            </w:tcMar>
          </w:tcPr>
          <w:p w14:paraId="6600F322" w14:textId="77777777" w:rsidR="00AC0E80" w:rsidRDefault="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James Moir (JM)</w:t>
            </w:r>
          </w:p>
        </w:tc>
        <w:tc>
          <w:tcPr>
            <w:tcW w:w="2518" w:type="dxa"/>
            <w:gridSpan w:val="5"/>
            <w:shd w:val="clear" w:color="auto" w:fill="auto"/>
            <w:tcMar>
              <w:left w:w="108" w:type="dxa"/>
            </w:tcMar>
          </w:tcPr>
          <w:p w14:paraId="4D7C4C4C" w14:textId="77777777" w:rsidR="00AC0E80" w:rsidRDefault="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Member</w:t>
            </w:r>
          </w:p>
        </w:tc>
        <w:tc>
          <w:tcPr>
            <w:tcW w:w="278" w:type="dxa"/>
            <w:vMerge/>
            <w:shd w:val="clear" w:color="auto" w:fill="000000" w:themeFill="text1"/>
            <w:tcMar>
              <w:left w:w="108" w:type="dxa"/>
            </w:tcMar>
          </w:tcPr>
          <w:p w14:paraId="3487E8F6" w14:textId="77777777" w:rsidR="00AC0E80" w:rsidRDefault="00AC0E80">
            <w:pPr>
              <w:spacing w:after="0" w:line="288" w:lineRule="auto"/>
              <w:jc w:val="center"/>
              <w:rPr>
                <w:rFonts w:eastAsia="Arial" w:cstheme="minorHAnsi"/>
                <w:color w:val="171717" w:themeColor="background2" w:themeShade="1A"/>
              </w:rPr>
            </w:pPr>
          </w:p>
        </w:tc>
        <w:tc>
          <w:tcPr>
            <w:tcW w:w="1173" w:type="dxa"/>
            <w:gridSpan w:val="2"/>
            <w:shd w:val="clear" w:color="auto" w:fill="auto"/>
            <w:tcMar>
              <w:left w:w="108" w:type="dxa"/>
            </w:tcMar>
          </w:tcPr>
          <w:p w14:paraId="5D00E7AD" w14:textId="79BFED46" w:rsidR="00AC0E80" w:rsidRDefault="00AC0E8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r>
      <w:tr w:rsidR="00AC0E80" w14:paraId="649DA852" w14:textId="77777777" w:rsidTr="00816337">
        <w:tc>
          <w:tcPr>
            <w:tcW w:w="861" w:type="dxa"/>
            <w:gridSpan w:val="2"/>
            <w:shd w:val="clear" w:color="auto" w:fill="5A913C"/>
            <w:tcMar>
              <w:left w:w="108" w:type="dxa"/>
            </w:tcMar>
          </w:tcPr>
          <w:p w14:paraId="2AD6CBAD" w14:textId="77777777" w:rsidR="00AC0E80" w:rsidRDefault="00AC0E80">
            <w:pPr>
              <w:spacing w:after="0" w:line="288" w:lineRule="auto"/>
              <w:rPr>
                <w:rFonts w:eastAsia="Arial" w:cstheme="minorHAnsi"/>
                <w:b/>
                <w:bCs/>
                <w:color w:val="171717" w:themeColor="background2" w:themeShade="1A"/>
              </w:rPr>
            </w:pPr>
          </w:p>
        </w:tc>
        <w:tc>
          <w:tcPr>
            <w:tcW w:w="2590" w:type="dxa"/>
            <w:gridSpan w:val="5"/>
            <w:shd w:val="clear" w:color="auto" w:fill="auto"/>
            <w:tcMar>
              <w:left w:w="108" w:type="dxa"/>
            </w:tcMar>
          </w:tcPr>
          <w:p w14:paraId="0D507907" w14:textId="77777777" w:rsidR="00AC0E80" w:rsidRDefault="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David Porter (DP)</w:t>
            </w:r>
          </w:p>
        </w:tc>
        <w:tc>
          <w:tcPr>
            <w:tcW w:w="2518" w:type="dxa"/>
            <w:gridSpan w:val="5"/>
            <w:shd w:val="clear" w:color="auto" w:fill="auto"/>
            <w:tcMar>
              <w:left w:w="108" w:type="dxa"/>
            </w:tcMar>
          </w:tcPr>
          <w:p w14:paraId="633FB877" w14:textId="77777777" w:rsidR="00AC0E80" w:rsidRDefault="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Member</w:t>
            </w:r>
          </w:p>
        </w:tc>
        <w:tc>
          <w:tcPr>
            <w:tcW w:w="278" w:type="dxa"/>
            <w:vMerge/>
            <w:shd w:val="clear" w:color="auto" w:fill="000000" w:themeFill="text1"/>
            <w:tcMar>
              <w:left w:w="108" w:type="dxa"/>
            </w:tcMar>
          </w:tcPr>
          <w:p w14:paraId="1E948C8B" w14:textId="77777777" w:rsidR="00AC0E80" w:rsidRDefault="00AC0E80">
            <w:pPr>
              <w:spacing w:after="0" w:line="288" w:lineRule="auto"/>
              <w:jc w:val="center"/>
              <w:rPr>
                <w:rFonts w:eastAsia="Arial" w:cstheme="minorHAnsi"/>
                <w:color w:val="171717" w:themeColor="background2" w:themeShade="1A"/>
              </w:rPr>
            </w:pPr>
          </w:p>
        </w:tc>
        <w:tc>
          <w:tcPr>
            <w:tcW w:w="1173" w:type="dxa"/>
            <w:gridSpan w:val="2"/>
            <w:shd w:val="clear" w:color="auto" w:fill="auto"/>
            <w:tcMar>
              <w:left w:w="108" w:type="dxa"/>
            </w:tcMar>
          </w:tcPr>
          <w:p w14:paraId="43E065C5" w14:textId="6CE2D98E" w:rsidR="00AC0E80" w:rsidRDefault="00816337">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r>
      <w:tr w:rsidR="00AC0E80" w14:paraId="175A803C" w14:textId="77777777" w:rsidTr="00816337">
        <w:tc>
          <w:tcPr>
            <w:tcW w:w="861" w:type="dxa"/>
            <w:gridSpan w:val="2"/>
            <w:shd w:val="clear" w:color="auto" w:fill="5A913C"/>
            <w:tcMar>
              <w:left w:w="108" w:type="dxa"/>
            </w:tcMar>
          </w:tcPr>
          <w:p w14:paraId="0F4F4016" w14:textId="77777777" w:rsidR="00AC0E80" w:rsidRDefault="00AC0E80">
            <w:pPr>
              <w:spacing w:after="0" w:line="288" w:lineRule="auto"/>
              <w:rPr>
                <w:rFonts w:eastAsia="Arial" w:cstheme="minorHAnsi"/>
                <w:b/>
                <w:bCs/>
                <w:color w:val="171717" w:themeColor="background2" w:themeShade="1A"/>
              </w:rPr>
            </w:pPr>
          </w:p>
        </w:tc>
        <w:tc>
          <w:tcPr>
            <w:tcW w:w="2590" w:type="dxa"/>
            <w:gridSpan w:val="5"/>
            <w:shd w:val="clear" w:color="auto" w:fill="auto"/>
            <w:tcMar>
              <w:left w:w="108" w:type="dxa"/>
            </w:tcMar>
          </w:tcPr>
          <w:p w14:paraId="6E5A4DDA" w14:textId="77777777" w:rsidR="00AC0E80" w:rsidRDefault="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John Davey (JD)</w:t>
            </w:r>
          </w:p>
        </w:tc>
        <w:tc>
          <w:tcPr>
            <w:tcW w:w="2518" w:type="dxa"/>
            <w:gridSpan w:val="5"/>
            <w:shd w:val="clear" w:color="auto" w:fill="auto"/>
            <w:tcMar>
              <w:left w:w="108" w:type="dxa"/>
            </w:tcMar>
          </w:tcPr>
          <w:p w14:paraId="19699770" w14:textId="77777777" w:rsidR="00AC0E80" w:rsidRDefault="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Member</w:t>
            </w:r>
          </w:p>
        </w:tc>
        <w:tc>
          <w:tcPr>
            <w:tcW w:w="278" w:type="dxa"/>
            <w:vMerge/>
            <w:shd w:val="clear" w:color="auto" w:fill="000000" w:themeFill="text1"/>
            <w:tcMar>
              <w:left w:w="108" w:type="dxa"/>
            </w:tcMar>
          </w:tcPr>
          <w:p w14:paraId="02E36541" w14:textId="77777777" w:rsidR="00AC0E80" w:rsidRDefault="00AC0E80">
            <w:pPr>
              <w:spacing w:after="0" w:line="288" w:lineRule="auto"/>
              <w:jc w:val="center"/>
              <w:rPr>
                <w:rFonts w:eastAsia="Arial" w:cstheme="minorHAnsi"/>
                <w:color w:val="171717" w:themeColor="background2" w:themeShade="1A"/>
              </w:rPr>
            </w:pPr>
          </w:p>
        </w:tc>
        <w:tc>
          <w:tcPr>
            <w:tcW w:w="1173" w:type="dxa"/>
            <w:gridSpan w:val="2"/>
            <w:shd w:val="clear" w:color="auto" w:fill="auto"/>
            <w:tcMar>
              <w:left w:w="108" w:type="dxa"/>
            </w:tcMar>
          </w:tcPr>
          <w:p w14:paraId="68B01F9D" w14:textId="659283C3" w:rsidR="00AC0E80" w:rsidRDefault="00816337">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r>
      <w:tr w:rsidR="00AC0E80" w14:paraId="4E11F107" w14:textId="77777777" w:rsidTr="00AC0E80">
        <w:tc>
          <w:tcPr>
            <w:tcW w:w="861" w:type="dxa"/>
            <w:gridSpan w:val="2"/>
            <w:shd w:val="clear" w:color="auto" w:fill="5A913C"/>
            <w:tcMar>
              <w:left w:w="108" w:type="dxa"/>
            </w:tcMar>
          </w:tcPr>
          <w:p w14:paraId="05F6364C" w14:textId="77777777" w:rsidR="00AC0E80" w:rsidRDefault="00AC0E80">
            <w:pPr>
              <w:spacing w:after="0" w:line="288" w:lineRule="auto"/>
              <w:rPr>
                <w:rFonts w:eastAsia="Arial" w:cstheme="minorHAnsi"/>
                <w:b/>
                <w:bCs/>
                <w:color w:val="171717" w:themeColor="background2" w:themeShade="1A"/>
              </w:rPr>
            </w:pPr>
          </w:p>
        </w:tc>
        <w:tc>
          <w:tcPr>
            <w:tcW w:w="2590" w:type="dxa"/>
            <w:gridSpan w:val="5"/>
            <w:shd w:val="clear" w:color="auto" w:fill="auto"/>
            <w:tcMar>
              <w:left w:w="108" w:type="dxa"/>
            </w:tcMar>
          </w:tcPr>
          <w:p w14:paraId="518DB370" w14:textId="77777777" w:rsidR="00AC0E80" w:rsidRDefault="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Leah Davies (LD)</w:t>
            </w:r>
          </w:p>
        </w:tc>
        <w:tc>
          <w:tcPr>
            <w:tcW w:w="2518" w:type="dxa"/>
            <w:gridSpan w:val="5"/>
            <w:shd w:val="clear" w:color="auto" w:fill="auto"/>
            <w:tcMar>
              <w:left w:w="108" w:type="dxa"/>
            </w:tcMar>
          </w:tcPr>
          <w:p w14:paraId="4429A182" w14:textId="77777777" w:rsidR="00AC0E80" w:rsidRDefault="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Member</w:t>
            </w:r>
          </w:p>
        </w:tc>
        <w:tc>
          <w:tcPr>
            <w:tcW w:w="278" w:type="dxa"/>
            <w:vMerge/>
            <w:shd w:val="clear" w:color="auto" w:fill="000000" w:themeFill="text1"/>
            <w:tcMar>
              <w:left w:w="108" w:type="dxa"/>
            </w:tcMar>
          </w:tcPr>
          <w:p w14:paraId="0C25DF8E" w14:textId="77777777" w:rsidR="00AC0E80" w:rsidRDefault="00AC0E80">
            <w:pPr>
              <w:spacing w:after="0" w:line="288" w:lineRule="auto"/>
              <w:jc w:val="center"/>
              <w:rPr>
                <w:rFonts w:eastAsia="Arial" w:cstheme="minorHAnsi"/>
                <w:color w:val="171717" w:themeColor="background2" w:themeShade="1A"/>
              </w:rPr>
            </w:pPr>
          </w:p>
        </w:tc>
        <w:tc>
          <w:tcPr>
            <w:tcW w:w="1173" w:type="dxa"/>
            <w:gridSpan w:val="2"/>
            <w:shd w:val="clear" w:color="auto" w:fill="auto"/>
            <w:tcMar>
              <w:left w:w="108" w:type="dxa"/>
            </w:tcMar>
          </w:tcPr>
          <w:p w14:paraId="23FE1092" w14:textId="0BDFD6DC" w:rsidR="00AC0E80" w:rsidRDefault="00AC0E8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r>
      <w:tr w:rsidR="00AC0E80" w14:paraId="64D3CB05" w14:textId="77777777" w:rsidTr="00AC0E80">
        <w:tc>
          <w:tcPr>
            <w:tcW w:w="861" w:type="dxa"/>
            <w:gridSpan w:val="2"/>
            <w:shd w:val="clear" w:color="auto" w:fill="5A913C"/>
            <w:tcMar>
              <w:left w:w="108" w:type="dxa"/>
            </w:tcMar>
          </w:tcPr>
          <w:p w14:paraId="21587E66" w14:textId="77777777" w:rsidR="00AC0E80" w:rsidRDefault="00AC0E80">
            <w:pPr>
              <w:spacing w:after="0" w:line="288" w:lineRule="auto"/>
              <w:rPr>
                <w:rFonts w:eastAsia="Arial" w:cstheme="minorHAnsi"/>
                <w:b/>
                <w:bCs/>
                <w:color w:val="171717" w:themeColor="background2" w:themeShade="1A"/>
              </w:rPr>
            </w:pPr>
          </w:p>
        </w:tc>
        <w:tc>
          <w:tcPr>
            <w:tcW w:w="2590" w:type="dxa"/>
            <w:gridSpan w:val="5"/>
            <w:shd w:val="clear" w:color="auto" w:fill="auto"/>
            <w:tcMar>
              <w:left w:w="108" w:type="dxa"/>
            </w:tcMar>
          </w:tcPr>
          <w:p w14:paraId="5AF5D543" w14:textId="77777777" w:rsidR="00AC0E80" w:rsidRDefault="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 xml:space="preserve">Peter </w:t>
            </w:r>
            <w:proofErr w:type="spellStart"/>
            <w:r>
              <w:rPr>
                <w:rFonts w:eastAsia="Arial" w:cstheme="minorHAnsi"/>
                <w:color w:val="171717" w:themeColor="background2" w:themeShade="1A"/>
              </w:rPr>
              <w:t>Beeley</w:t>
            </w:r>
            <w:proofErr w:type="spellEnd"/>
            <w:r>
              <w:rPr>
                <w:rFonts w:eastAsia="Arial" w:cstheme="minorHAnsi"/>
                <w:color w:val="171717" w:themeColor="background2" w:themeShade="1A"/>
              </w:rPr>
              <w:t xml:space="preserve"> (PB)</w:t>
            </w:r>
          </w:p>
        </w:tc>
        <w:tc>
          <w:tcPr>
            <w:tcW w:w="2518" w:type="dxa"/>
            <w:gridSpan w:val="5"/>
            <w:shd w:val="clear" w:color="auto" w:fill="auto"/>
            <w:tcMar>
              <w:left w:w="108" w:type="dxa"/>
            </w:tcMar>
          </w:tcPr>
          <w:p w14:paraId="24034CC0" w14:textId="77777777" w:rsidR="00AC0E80" w:rsidRDefault="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Member</w:t>
            </w:r>
          </w:p>
        </w:tc>
        <w:tc>
          <w:tcPr>
            <w:tcW w:w="278" w:type="dxa"/>
            <w:vMerge/>
            <w:shd w:val="clear" w:color="auto" w:fill="000000" w:themeFill="text1"/>
            <w:tcMar>
              <w:left w:w="108" w:type="dxa"/>
            </w:tcMar>
          </w:tcPr>
          <w:p w14:paraId="2DA41A53" w14:textId="77777777" w:rsidR="00AC0E80" w:rsidRDefault="00AC0E80">
            <w:pPr>
              <w:spacing w:after="0" w:line="288" w:lineRule="auto"/>
              <w:jc w:val="center"/>
              <w:rPr>
                <w:rFonts w:eastAsia="Arial" w:cstheme="minorHAnsi"/>
                <w:color w:val="171717" w:themeColor="background2" w:themeShade="1A"/>
              </w:rPr>
            </w:pPr>
          </w:p>
        </w:tc>
        <w:tc>
          <w:tcPr>
            <w:tcW w:w="1173" w:type="dxa"/>
            <w:gridSpan w:val="2"/>
            <w:shd w:val="clear" w:color="auto" w:fill="auto"/>
            <w:tcMar>
              <w:left w:w="108" w:type="dxa"/>
            </w:tcMar>
          </w:tcPr>
          <w:p w14:paraId="0B929AF4" w14:textId="02088641" w:rsidR="00AC0E80" w:rsidRDefault="00AC0E8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r>
      <w:tr w:rsidR="00AC0E80" w14:paraId="1BB1E057" w14:textId="77777777" w:rsidTr="00AC0E80">
        <w:tc>
          <w:tcPr>
            <w:tcW w:w="861" w:type="dxa"/>
            <w:gridSpan w:val="2"/>
            <w:shd w:val="clear" w:color="auto" w:fill="5A913C"/>
            <w:tcMar>
              <w:left w:w="108" w:type="dxa"/>
            </w:tcMar>
          </w:tcPr>
          <w:p w14:paraId="2C20665E" w14:textId="77777777" w:rsidR="00AC0E80" w:rsidRDefault="00AC0E80">
            <w:pPr>
              <w:spacing w:after="0" w:line="288" w:lineRule="auto"/>
              <w:rPr>
                <w:rFonts w:eastAsia="Arial" w:cstheme="minorHAnsi"/>
                <w:b/>
                <w:bCs/>
                <w:color w:val="171717" w:themeColor="background2" w:themeShade="1A"/>
              </w:rPr>
            </w:pPr>
          </w:p>
        </w:tc>
        <w:tc>
          <w:tcPr>
            <w:tcW w:w="2590" w:type="dxa"/>
            <w:gridSpan w:val="5"/>
            <w:shd w:val="clear" w:color="auto" w:fill="auto"/>
            <w:tcMar>
              <w:left w:w="108" w:type="dxa"/>
            </w:tcMar>
          </w:tcPr>
          <w:p w14:paraId="7203FF09" w14:textId="77777777" w:rsidR="00AC0E80" w:rsidRDefault="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Dave Jones (DJ)</w:t>
            </w:r>
          </w:p>
        </w:tc>
        <w:tc>
          <w:tcPr>
            <w:tcW w:w="2518" w:type="dxa"/>
            <w:gridSpan w:val="5"/>
            <w:shd w:val="clear" w:color="auto" w:fill="auto"/>
            <w:tcMar>
              <w:left w:w="108" w:type="dxa"/>
            </w:tcMar>
          </w:tcPr>
          <w:p w14:paraId="1E5BE2C6" w14:textId="77777777" w:rsidR="00AC0E80" w:rsidRDefault="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Member</w:t>
            </w:r>
          </w:p>
        </w:tc>
        <w:tc>
          <w:tcPr>
            <w:tcW w:w="278" w:type="dxa"/>
            <w:vMerge/>
            <w:shd w:val="clear" w:color="auto" w:fill="000000" w:themeFill="text1"/>
            <w:tcMar>
              <w:left w:w="108" w:type="dxa"/>
            </w:tcMar>
          </w:tcPr>
          <w:p w14:paraId="46178BFD" w14:textId="77777777" w:rsidR="00AC0E80" w:rsidRDefault="00AC0E80">
            <w:pPr>
              <w:spacing w:after="0" w:line="288" w:lineRule="auto"/>
              <w:jc w:val="center"/>
              <w:rPr>
                <w:rFonts w:eastAsia="Arial" w:cstheme="minorHAnsi"/>
                <w:color w:val="171717" w:themeColor="background2" w:themeShade="1A"/>
              </w:rPr>
            </w:pPr>
          </w:p>
        </w:tc>
        <w:tc>
          <w:tcPr>
            <w:tcW w:w="1173" w:type="dxa"/>
            <w:gridSpan w:val="2"/>
            <w:shd w:val="clear" w:color="auto" w:fill="auto"/>
            <w:tcMar>
              <w:left w:w="108" w:type="dxa"/>
            </w:tcMar>
          </w:tcPr>
          <w:p w14:paraId="10623C62" w14:textId="239CB28B" w:rsidR="00AC0E80" w:rsidRDefault="00AC0E80">
            <w:pPr>
              <w:spacing w:after="0" w:line="288" w:lineRule="auto"/>
              <w:jc w:val="center"/>
              <w:rPr>
                <w:rFonts w:eastAsia="Arial" w:cstheme="minorHAnsi"/>
                <w:color w:val="171717" w:themeColor="background2" w:themeShade="1A"/>
              </w:rPr>
            </w:pPr>
            <w:r>
              <w:rPr>
                <w:rFonts w:ascii="Segoe UI Symbol" w:hAnsi="Segoe UI Symbol" w:cs="Segoe UI Symbol"/>
                <w:color w:val="222222"/>
                <w:shd w:val="clear" w:color="auto" w:fill="FFFFFF"/>
              </w:rPr>
              <w:t>✓</w:t>
            </w:r>
          </w:p>
        </w:tc>
      </w:tr>
      <w:tr w:rsidR="00AC0E80" w14:paraId="70372202" w14:textId="77777777" w:rsidTr="00AC0E80">
        <w:tc>
          <w:tcPr>
            <w:tcW w:w="861" w:type="dxa"/>
            <w:gridSpan w:val="2"/>
            <w:shd w:val="clear" w:color="auto" w:fill="5A913C"/>
            <w:tcMar>
              <w:left w:w="108" w:type="dxa"/>
            </w:tcMar>
          </w:tcPr>
          <w:p w14:paraId="5E3AE7C6" w14:textId="77777777" w:rsidR="00AC0E80" w:rsidRDefault="00AC0E80" w:rsidP="00AC0E80">
            <w:pPr>
              <w:spacing w:after="0" w:line="288" w:lineRule="auto"/>
              <w:rPr>
                <w:rFonts w:eastAsia="Arial" w:cstheme="minorHAnsi"/>
                <w:b/>
                <w:bCs/>
                <w:color w:val="171717" w:themeColor="background2" w:themeShade="1A"/>
              </w:rPr>
            </w:pPr>
          </w:p>
        </w:tc>
        <w:tc>
          <w:tcPr>
            <w:tcW w:w="2590" w:type="dxa"/>
            <w:gridSpan w:val="5"/>
            <w:shd w:val="clear" w:color="auto" w:fill="auto"/>
            <w:tcMar>
              <w:left w:w="108" w:type="dxa"/>
            </w:tcMar>
          </w:tcPr>
          <w:p w14:paraId="14DA8EBE" w14:textId="20F03E6C" w:rsidR="00AC0E80" w:rsidRDefault="00AC0E80" w:rsidP="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Matt Harvey (MH)</w:t>
            </w:r>
          </w:p>
        </w:tc>
        <w:tc>
          <w:tcPr>
            <w:tcW w:w="2518" w:type="dxa"/>
            <w:gridSpan w:val="5"/>
            <w:shd w:val="clear" w:color="auto" w:fill="auto"/>
            <w:tcMar>
              <w:left w:w="108" w:type="dxa"/>
            </w:tcMar>
          </w:tcPr>
          <w:p w14:paraId="1FA2D383" w14:textId="36519F62" w:rsidR="00AC0E80" w:rsidRDefault="00AC0E80" w:rsidP="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Chief Officer</w:t>
            </w:r>
          </w:p>
        </w:tc>
        <w:tc>
          <w:tcPr>
            <w:tcW w:w="278" w:type="dxa"/>
            <w:vMerge/>
            <w:shd w:val="clear" w:color="auto" w:fill="000000" w:themeFill="text1"/>
            <w:tcMar>
              <w:left w:w="108" w:type="dxa"/>
            </w:tcMar>
          </w:tcPr>
          <w:p w14:paraId="4498FCD1" w14:textId="77777777" w:rsidR="00AC0E80" w:rsidRDefault="00AC0E80" w:rsidP="00AC0E80">
            <w:pPr>
              <w:spacing w:after="0" w:line="288" w:lineRule="auto"/>
              <w:jc w:val="center"/>
              <w:rPr>
                <w:rFonts w:eastAsia="Arial" w:cstheme="minorHAnsi"/>
                <w:color w:val="171717" w:themeColor="background2" w:themeShade="1A"/>
              </w:rPr>
            </w:pPr>
          </w:p>
        </w:tc>
        <w:tc>
          <w:tcPr>
            <w:tcW w:w="1173" w:type="dxa"/>
            <w:gridSpan w:val="2"/>
            <w:shd w:val="clear" w:color="auto" w:fill="auto"/>
            <w:tcMar>
              <w:left w:w="108" w:type="dxa"/>
            </w:tcMar>
          </w:tcPr>
          <w:p w14:paraId="3C27A88E" w14:textId="55CF9C2F" w:rsidR="00AC0E80" w:rsidRDefault="00AC0E80" w:rsidP="00AC0E80">
            <w:pPr>
              <w:spacing w:after="0" w:line="288" w:lineRule="auto"/>
              <w:jc w:val="center"/>
              <w:rPr>
                <w:rFonts w:ascii="Segoe UI Symbol" w:hAnsi="Segoe UI Symbol" w:cs="Segoe UI Symbol"/>
                <w:color w:val="222222"/>
                <w:shd w:val="clear" w:color="auto" w:fill="FFFFFF"/>
              </w:rPr>
            </w:pPr>
            <w:r>
              <w:rPr>
                <w:rFonts w:ascii="Segoe UI Symbol" w:hAnsi="Segoe UI Symbol" w:cs="Segoe UI Symbol"/>
                <w:color w:val="222222"/>
                <w:shd w:val="clear" w:color="auto" w:fill="FFFFFF"/>
              </w:rPr>
              <w:t>✓</w:t>
            </w:r>
          </w:p>
        </w:tc>
      </w:tr>
      <w:tr w:rsidR="00AC0E80" w14:paraId="176C25FF" w14:textId="77777777" w:rsidTr="00AC0E80">
        <w:tc>
          <w:tcPr>
            <w:tcW w:w="861" w:type="dxa"/>
            <w:gridSpan w:val="2"/>
            <w:shd w:val="clear" w:color="auto" w:fill="5A913C"/>
            <w:tcMar>
              <w:left w:w="108" w:type="dxa"/>
            </w:tcMar>
          </w:tcPr>
          <w:p w14:paraId="3E56A848" w14:textId="77777777" w:rsidR="00AC0E80" w:rsidRDefault="00AC0E80" w:rsidP="00AC0E80">
            <w:pPr>
              <w:spacing w:after="0" w:line="288" w:lineRule="auto"/>
              <w:rPr>
                <w:rFonts w:eastAsia="Arial" w:cstheme="minorHAnsi"/>
                <w:b/>
                <w:bCs/>
                <w:color w:val="171717" w:themeColor="background2" w:themeShade="1A"/>
              </w:rPr>
            </w:pPr>
          </w:p>
        </w:tc>
        <w:tc>
          <w:tcPr>
            <w:tcW w:w="2590" w:type="dxa"/>
            <w:gridSpan w:val="5"/>
            <w:shd w:val="clear" w:color="auto" w:fill="auto"/>
            <w:tcMar>
              <w:left w:w="108" w:type="dxa"/>
            </w:tcMar>
          </w:tcPr>
          <w:p w14:paraId="1D82B5F7" w14:textId="1BA1EB13" w:rsidR="00AC0E80" w:rsidRDefault="00AC0E80" w:rsidP="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David Barker (DB)</w:t>
            </w:r>
          </w:p>
        </w:tc>
        <w:tc>
          <w:tcPr>
            <w:tcW w:w="2518" w:type="dxa"/>
            <w:gridSpan w:val="5"/>
            <w:shd w:val="clear" w:color="auto" w:fill="auto"/>
            <w:tcMar>
              <w:left w:w="108" w:type="dxa"/>
            </w:tcMar>
          </w:tcPr>
          <w:p w14:paraId="3A8B761C" w14:textId="745C4B9D" w:rsidR="00AC0E80" w:rsidRDefault="00AC0E80" w:rsidP="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Engagement Officer</w:t>
            </w:r>
          </w:p>
        </w:tc>
        <w:tc>
          <w:tcPr>
            <w:tcW w:w="278" w:type="dxa"/>
            <w:vMerge/>
            <w:shd w:val="clear" w:color="auto" w:fill="000000" w:themeFill="text1"/>
            <w:tcMar>
              <w:left w:w="108" w:type="dxa"/>
            </w:tcMar>
          </w:tcPr>
          <w:p w14:paraId="133EDE8D" w14:textId="77777777" w:rsidR="00AC0E80" w:rsidRDefault="00AC0E80" w:rsidP="00AC0E80">
            <w:pPr>
              <w:spacing w:after="0" w:line="288" w:lineRule="auto"/>
              <w:jc w:val="center"/>
              <w:rPr>
                <w:rFonts w:eastAsia="Arial" w:cstheme="minorHAnsi"/>
                <w:color w:val="171717" w:themeColor="background2" w:themeShade="1A"/>
              </w:rPr>
            </w:pPr>
          </w:p>
        </w:tc>
        <w:tc>
          <w:tcPr>
            <w:tcW w:w="1173" w:type="dxa"/>
            <w:gridSpan w:val="2"/>
            <w:shd w:val="clear" w:color="auto" w:fill="auto"/>
            <w:tcMar>
              <w:left w:w="108" w:type="dxa"/>
            </w:tcMar>
          </w:tcPr>
          <w:p w14:paraId="6DEC7A8C" w14:textId="18A7AC31" w:rsidR="00AC0E80" w:rsidRDefault="00AC0E80" w:rsidP="00AC0E80">
            <w:pPr>
              <w:spacing w:after="0" w:line="288" w:lineRule="auto"/>
              <w:jc w:val="center"/>
              <w:rPr>
                <w:rFonts w:ascii="Segoe UI Symbol" w:hAnsi="Segoe UI Symbol" w:cs="Segoe UI Symbol"/>
                <w:color w:val="222222"/>
                <w:shd w:val="clear" w:color="auto" w:fill="FFFFFF"/>
              </w:rPr>
            </w:pPr>
            <w:r>
              <w:rPr>
                <w:rFonts w:ascii="Segoe UI Symbol" w:hAnsi="Segoe UI Symbol" w:cs="Segoe UI Symbol"/>
                <w:color w:val="222222"/>
                <w:shd w:val="clear" w:color="auto" w:fill="FFFFFF"/>
              </w:rPr>
              <w:t>✓</w:t>
            </w:r>
          </w:p>
        </w:tc>
      </w:tr>
      <w:tr w:rsidR="00AC0E80" w14:paraId="2E001FC5" w14:textId="77777777" w:rsidTr="00816337">
        <w:tc>
          <w:tcPr>
            <w:tcW w:w="861" w:type="dxa"/>
            <w:gridSpan w:val="2"/>
            <w:shd w:val="clear" w:color="auto" w:fill="5A913C"/>
            <w:tcMar>
              <w:left w:w="108" w:type="dxa"/>
            </w:tcMar>
          </w:tcPr>
          <w:p w14:paraId="436BAFEA" w14:textId="77777777" w:rsidR="00AC0E80" w:rsidRDefault="00AC0E80" w:rsidP="00AC0E80">
            <w:pPr>
              <w:spacing w:after="0" w:line="288" w:lineRule="auto"/>
              <w:rPr>
                <w:rFonts w:eastAsia="Arial" w:cstheme="minorHAnsi"/>
                <w:b/>
                <w:bCs/>
                <w:color w:val="171717" w:themeColor="background2" w:themeShade="1A"/>
              </w:rPr>
            </w:pPr>
          </w:p>
        </w:tc>
        <w:tc>
          <w:tcPr>
            <w:tcW w:w="2590" w:type="dxa"/>
            <w:gridSpan w:val="5"/>
            <w:shd w:val="clear" w:color="auto" w:fill="auto"/>
            <w:tcMar>
              <w:left w:w="108" w:type="dxa"/>
            </w:tcMar>
          </w:tcPr>
          <w:p w14:paraId="15487B27" w14:textId="444ECA79" w:rsidR="00AC0E80" w:rsidRDefault="00AC0E80" w:rsidP="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Thomas Wareing (TW)</w:t>
            </w:r>
          </w:p>
        </w:tc>
        <w:tc>
          <w:tcPr>
            <w:tcW w:w="2518" w:type="dxa"/>
            <w:gridSpan w:val="5"/>
            <w:shd w:val="clear" w:color="auto" w:fill="auto"/>
            <w:tcMar>
              <w:left w:w="108" w:type="dxa"/>
            </w:tcMar>
          </w:tcPr>
          <w:p w14:paraId="18A9442A" w14:textId="13CDBE26" w:rsidR="00AC0E80" w:rsidRDefault="00AC0E80" w:rsidP="00AC0E80">
            <w:pPr>
              <w:spacing w:after="0" w:line="288" w:lineRule="auto"/>
              <w:jc w:val="center"/>
              <w:rPr>
                <w:rFonts w:eastAsia="Arial" w:cstheme="minorHAnsi"/>
                <w:color w:val="171717" w:themeColor="background2" w:themeShade="1A"/>
              </w:rPr>
            </w:pPr>
            <w:r>
              <w:rPr>
                <w:rFonts w:eastAsia="Arial" w:cstheme="minorHAnsi"/>
                <w:color w:val="171717" w:themeColor="background2" w:themeShade="1A"/>
              </w:rPr>
              <w:t>Business Support Officer</w:t>
            </w:r>
          </w:p>
        </w:tc>
        <w:tc>
          <w:tcPr>
            <w:tcW w:w="278" w:type="dxa"/>
            <w:vMerge/>
            <w:shd w:val="clear" w:color="auto" w:fill="000000" w:themeFill="text1"/>
            <w:tcMar>
              <w:left w:w="108" w:type="dxa"/>
            </w:tcMar>
          </w:tcPr>
          <w:p w14:paraId="30A8AD31" w14:textId="77777777" w:rsidR="00AC0E80" w:rsidRDefault="00AC0E80" w:rsidP="00AC0E80">
            <w:pPr>
              <w:spacing w:after="0" w:line="288" w:lineRule="auto"/>
              <w:jc w:val="center"/>
              <w:rPr>
                <w:rFonts w:eastAsia="Arial" w:cstheme="minorHAnsi"/>
                <w:color w:val="171717" w:themeColor="background2" w:themeShade="1A"/>
              </w:rPr>
            </w:pPr>
          </w:p>
        </w:tc>
        <w:tc>
          <w:tcPr>
            <w:tcW w:w="1173" w:type="dxa"/>
            <w:gridSpan w:val="2"/>
            <w:shd w:val="clear" w:color="auto" w:fill="FF0000"/>
            <w:tcMar>
              <w:left w:w="108" w:type="dxa"/>
            </w:tcMar>
          </w:tcPr>
          <w:p w14:paraId="5208F18A" w14:textId="55595C65" w:rsidR="00AC0E80" w:rsidRDefault="00816337" w:rsidP="00AC0E80">
            <w:pPr>
              <w:spacing w:after="0" w:line="288" w:lineRule="auto"/>
              <w:jc w:val="center"/>
              <w:rPr>
                <w:rFonts w:ascii="Segoe UI Symbol" w:hAnsi="Segoe UI Symbol" w:cs="Segoe UI Symbol"/>
                <w:color w:val="222222"/>
                <w:shd w:val="clear" w:color="auto" w:fill="FFFFFF"/>
              </w:rPr>
            </w:pPr>
            <w:r>
              <w:rPr>
                <w:rFonts w:eastAsia="Arial" w:cstheme="minorHAnsi"/>
                <w:color w:val="171717" w:themeColor="background2" w:themeShade="1A"/>
              </w:rPr>
              <w:t>x</w:t>
            </w:r>
          </w:p>
        </w:tc>
      </w:tr>
      <w:tr w:rsidR="00AC0E80" w14:paraId="0F6D7F40" w14:textId="77777777" w:rsidTr="00AC0E80">
        <w:trPr>
          <w:gridAfter w:val="1"/>
          <w:wAfter w:w="158" w:type="dxa"/>
        </w:trPr>
        <w:tc>
          <w:tcPr>
            <w:tcW w:w="600" w:type="dxa"/>
            <w:tcBorders>
              <w:top w:val="nil"/>
              <w:left w:val="nil"/>
              <w:bottom w:val="nil"/>
              <w:right w:val="nil"/>
            </w:tcBorders>
            <w:shd w:val="clear" w:color="auto" w:fill="auto"/>
          </w:tcPr>
          <w:p w14:paraId="12E8E97B" w14:textId="77777777" w:rsidR="00AC0E80" w:rsidRDefault="00AC0E80" w:rsidP="00AC0E80">
            <w:pPr>
              <w:spacing w:after="0" w:line="240" w:lineRule="auto"/>
            </w:pPr>
          </w:p>
        </w:tc>
        <w:tc>
          <w:tcPr>
            <w:tcW w:w="709" w:type="dxa"/>
            <w:gridSpan w:val="2"/>
            <w:tcBorders>
              <w:top w:val="nil"/>
              <w:left w:val="nil"/>
              <w:bottom w:val="nil"/>
              <w:right w:val="nil"/>
            </w:tcBorders>
            <w:shd w:val="clear" w:color="auto" w:fill="auto"/>
          </w:tcPr>
          <w:p w14:paraId="0C51DADE" w14:textId="77777777" w:rsidR="00AC0E80" w:rsidRDefault="00AC0E80" w:rsidP="00AC0E80">
            <w:pPr>
              <w:spacing w:after="0" w:line="240" w:lineRule="auto"/>
            </w:pPr>
          </w:p>
        </w:tc>
        <w:tc>
          <w:tcPr>
            <w:tcW w:w="567" w:type="dxa"/>
            <w:tcBorders>
              <w:top w:val="nil"/>
              <w:left w:val="nil"/>
              <w:bottom w:val="nil"/>
              <w:right w:val="nil"/>
            </w:tcBorders>
            <w:shd w:val="clear" w:color="auto" w:fill="auto"/>
          </w:tcPr>
          <w:p w14:paraId="3B463F8E" w14:textId="77777777" w:rsidR="00AC0E80" w:rsidRDefault="00AC0E80" w:rsidP="00AC0E80">
            <w:pPr>
              <w:spacing w:after="0" w:line="240" w:lineRule="auto"/>
            </w:pPr>
          </w:p>
        </w:tc>
        <w:tc>
          <w:tcPr>
            <w:tcW w:w="567" w:type="dxa"/>
            <w:tcBorders>
              <w:top w:val="nil"/>
              <w:left w:val="nil"/>
              <w:bottom w:val="nil"/>
              <w:right w:val="nil"/>
            </w:tcBorders>
            <w:shd w:val="clear" w:color="auto" w:fill="auto"/>
          </w:tcPr>
          <w:p w14:paraId="1100FA50" w14:textId="77777777" w:rsidR="00AC0E80" w:rsidRDefault="00AC0E80" w:rsidP="00AC0E80">
            <w:pPr>
              <w:spacing w:after="0" w:line="240" w:lineRule="auto"/>
            </w:pPr>
          </w:p>
        </w:tc>
        <w:tc>
          <w:tcPr>
            <w:tcW w:w="621" w:type="dxa"/>
            <w:tcBorders>
              <w:top w:val="nil"/>
              <w:left w:val="nil"/>
              <w:bottom w:val="nil"/>
              <w:right w:val="nil"/>
            </w:tcBorders>
            <w:shd w:val="clear" w:color="auto" w:fill="auto"/>
          </w:tcPr>
          <w:p w14:paraId="6D8F8CBA" w14:textId="77777777" w:rsidR="00AC0E80" w:rsidRDefault="00AC0E80" w:rsidP="00AC0E80">
            <w:pPr>
              <w:spacing w:after="0" w:line="240" w:lineRule="auto"/>
            </w:pPr>
          </w:p>
        </w:tc>
        <w:tc>
          <w:tcPr>
            <w:tcW w:w="709" w:type="dxa"/>
            <w:gridSpan w:val="2"/>
            <w:tcBorders>
              <w:top w:val="nil"/>
              <w:left w:val="nil"/>
              <w:bottom w:val="nil"/>
              <w:right w:val="nil"/>
            </w:tcBorders>
            <w:shd w:val="clear" w:color="auto" w:fill="auto"/>
          </w:tcPr>
          <w:p w14:paraId="3716A838" w14:textId="77777777" w:rsidR="00AC0E80" w:rsidRDefault="00AC0E80" w:rsidP="00AC0E80">
            <w:pPr>
              <w:spacing w:after="0" w:line="240" w:lineRule="auto"/>
            </w:pPr>
          </w:p>
        </w:tc>
        <w:tc>
          <w:tcPr>
            <w:tcW w:w="794" w:type="dxa"/>
            <w:tcBorders>
              <w:top w:val="nil"/>
              <w:left w:val="nil"/>
              <w:bottom w:val="nil"/>
              <w:right w:val="nil"/>
            </w:tcBorders>
            <w:shd w:val="clear" w:color="auto" w:fill="auto"/>
          </w:tcPr>
          <w:p w14:paraId="7B402E81" w14:textId="77777777" w:rsidR="00AC0E80" w:rsidRDefault="00AC0E80" w:rsidP="00AC0E80">
            <w:pPr>
              <w:spacing w:after="0" w:line="240" w:lineRule="auto"/>
            </w:pPr>
          </w:p>
        </w:tc>
        <w:tc>
          <w:tcPr>
            <w:tcW w:w="567" w:type="dxa"/>
            <w:tcBorders>
              <w:top w:val="nil"/>
              <w:left w:val="nil"/>
              <w:bottom w:val="nil"/>
              <w:right w:val="nil"/>
            </w:tcBorders>
            <w:shd w:val="clear" w:color="auto" w:fill="auto"/>
          </w:tcPr>
          <w:p w14:paraId="6844F39C" w14:textId="77777777" w:rsidR="00AC0E80" w:rsidRDefault="00AC0E80" w:rsidP="00AC0E80">
            <w:pPr>
              <w:spacing w:after="0" w:line="240" w:lineRule="auto"/>
            </w:pPr>
          </w:p>
        </w:tc>
        <w:tc>
          <w:tcPr>
            <w:tcW w:w="709" w:type="dxa"/>
            <w:tcBorders>
              <w:top w:val="nil"/>
              <w:left w:val="nil"/>
              <w:bottom w:val="nil"/>
              <w:right w:val="nil"/>
            </w:tcBorders>
            <w:shd w:val="clear" w:color="auto" w:fill="auto"/>
          </w:tcPr>
          <w:p w14:paraId="3842A57A" w14:textId="77777777" w:rsidR="00AC0E80" w:rsidRDefault="00AC0E80" w:rsidP="00AC0E80">
            <w:pPr>
              <w:spacing w:after="0" w:line="240" w:lineRule="auto"/>
            </w:pPr>
          </w:p>
        </w:tc>
        <w:tc>
          <w:tcPr>
            <w:tcW w:w="1419" w:type="dxa"/>
            <w:gridSpan w:val="3"/>
            <w:tcBorders>
              <w:top w:val="nil"/>
              <w:left w:val="nil"/>
              <w:bottom w:val="nil"/>
              <w:right w:val="nil"/>
            </w:tcBorders>
            <w:shd w:val="clear" w:color="auto" w:fill="auto"/>
          </w:tcPr>
          <w:p w14:paraId="6FD3122F" w14:textId="77777777" w:rsidR="00AC0E80" w:rsidRDefault="00AC0E80" w:rsidP="00AC0E80">
            <w:pPr>
              <w:spacing w:after="0" w:line="240" w:lineRule="auto"/>
            </w:pPr>
          </w:p>
        </w:tc>
      </w:tr>
      <w:tr w:rsidR="00AC0E80" w14:paraId="05752349" w14:textId="77777777" w:rsidTr="00AC0E80">
        <w:trPr>
          <w:gridAfter w:val="1"/>
          <w:wAfter w:w="158" w:type="dxa"/>
        </w:trPr>
        <w:tc>
          <w:tcPr>
            <w:tcW w:w="600" w:type="dxa"/>
            <w:tcBorders>
              <w:top w:val="nil"/>
              <w:left w:val="nil"/>
              <w:bottom w:val="nil"/>
              <w:right w:val="nil"/>
            </w:tcBorders>
            <w:shd w:val="clear" w:color="auto" w:fill="auto"/>
          </w:tcPr>
          <w:p w14:paraId="358B4B91" w14:textId="77777777" w:rsidR="00AC0E80" w:rsidRDefault="00AC0E80" w:rsidP="00AC0E80">
            <w:pPr>
              <w:spacing w:after="0" w:line="240" w:lineRule="auto"/>
            </w:pPr>
          </w:p>
        </w:tc>
        <w:tc>
          <w:tcPr>
            <w:tcW w:w="709" w:type="dxa"/>
            <w:gridSpan w:val="2"/>
            <w:tcBorders>
              <w:top w:val="nil"/>
              <w:left w:val="nil"/>
              <w:bottom w:val="nil"/>
              <w:right w:val="nil"/>
            </w:tcBorders>
            <w:shd w:val="clear" w:color="auto" w:fill="auto"/>
          </w:tcPr>
          <w:p w14:paraId="3BDECE45" w14:textId="77777777" w:rsidR="00AC0E80" w:rsidRDefault="00AC0E80" w:rsidP="00AC0E80">
            <w:pPr>
              <w:spacing w:after="0" w:line="240" w:lineRule="auto"/>
            </w:pPr>
          </w:p>
        </w:tc>
        <w:tc>
          <w:tcPr>
            <w:tcW w:w="567" w:type="dxa"/>
            <w:tcBorders>
              <w:top w:val="nil"/>
              <w:left w:val="nil"/>
              <w:bottom w:val="nil"/>
              <w:right w:val="nil"/>
            </w:tcBorders>
            <w:shd w:val="clear" w:color="auto" w:fill="auto"/>
          </w:tcPr>
          <w:p w14:paraId="6D9C09AD" w14:textId="77777777" w:rsidR="00AC0E80" w:rsidRDefault="00AC0E80" w:rsidP="00AC0E80">
            <w:pPr>
              <w:spacing w:after="0" w:line="240" w:lineRule="auto"/>
            </w:pPr>
          </w:p>
        </w:tc>
        <w:tc>
          <w:tcPr>
            <w:tcW w:w="567" w:type="dxa"/>
            <w:tcBorders>
              <w:top w:val="nil"/>
              <w:left w:val="nil"/>
              <w:bottom w:val="nil"/>
              <w:right w:val="nil"/>
            </w:tcBorders>
            <w:shd w:val="clear" w:color="auto" w:fill="auto"/>
          </w:tcPr>
          <w:p w14:paraId="162C1F2C" w14:textId="77777777" w:rsidR="00AC0E80" w:rsidRDefault="00AC0E80" w:rsidP="00AC0E80">
            <w:pPr>
              <w:spacing w:after="0" w:line="240" w:lineRule="auto"/>
            </w:pPr>
          </w:p>
        </w:tc>
        <w:tc>
          <w:tcPr>
            <w:tcW w:w="621" w:type="dxa"/>
            <w:tcBorders>
              <w:top w:val="nil"/>
              <w:left w:val="nil"/>
              <w:bottom w:val="nil"/>
              <w:right w:val="nil"/>
            </w:tcBorders>
            <w:shd w:val="clear" w:color="auto" w:fill="auto"/>
          </w:tcPr>
          <w:p w14:paraId="35B48F0F" w14:textId="77777777" w:rsidR="00AC0E80" w:rsidRDefault="00AC0E80" w:rsidP="00AC0E80">
            <w:pPr>
              <w:spacing w:after="0" w:line="240" w:lineRule="auto"/>
            </w:pPr>
          </w:p>
        </w:tc>
        <w:tc>
          <w:tcPr>
            <w:tcW w:w="709" w:type="dxa"/>
            <w:gridSpan w:val="2"/>
            <w:tcBorders>
              <w:top w:val="nil"/>
              <w:left w:val="nil"/>
              <w:bottom w:val="nil"/>
              <w:right w:val="nil"/>
            </w:tcBorders>
            <w:shd w:val="clear" w:color="auto" w:fill="auto"/>
          </w:tcPr>
          <w:p w14:paraId="6AE11581" w14:textId="77777777" w:rsidR="00AC0E80" w:rsidRDefault="00AC0E80" w:rsidP="00AC0E80">
            <w:pPr>
              <w:spacing w:after="0" w:line="240" w:lineRule="auto"/>
            </w:pPr>
          </w:p>
        </w:tc>
        <w:tc>
          <w:tcPr>
            <w:tcW w:w="794" w:type="dxa"/>
            <w:tcBorders>
              <w:top w:val="nil"/>
              <w:left w:val="nil"/>
              <w:bottom w:val="nil"/>
              <w:right w:val="nil"/>
            </w:tcBorders>
            <w:shd w:val="clear" w:color="auto" w:fill="auto"/>
          </w:tcPr>
          <w:p w14:paraId="5802D4A5" w14:textId="77777777" w:rsidR="00AC0E80" w:rsidRDefault="00AC0E80" w:rsidP="00AC0E80">
            <w:pPr>
              <w:spacing w:after="0" w:line="240" w:lineRule="auto"/>
            </w:pPr>
          </w:p>
        </w:tc>
        <w:tc>
          <w:tcPr>
            <w:tcW w:w="567" w:type="dxa"/>
            <w:tcBorders>
              <w:top w:val="nil"/>
              <w:left w:val="nil"/>
              <w:bottom w:val="nil"/>
              <w:right w:val="nil"/>
            </w:tcBorders>
            <w:shd w:val="clear" w:color="auto" w:fill="auto"/>
          </w:tcPr>
          <w:p w14:paraId="7FA4B599" w14:textId="77777777" w:rsidR="00AC0E80" w:rsidRDefault="00AC0E80" w:rsidP="00AC0E80">
            <w:pPr>
              <w:spacing w:after="0" w:line="240" w:lineRule="auto"/>
            </w:pPr>
          </w:p>
        </w:tc>
        <w:tc>
          <w:tcPr>
            <w:tcW w:w="709" w:type="dxa"/>
            <w:tcBorders>
              <w:top w:val="nil"/>
              <w:left w:val="nil"/>
              <w:bottom w:val="nil"/>
              <w:right w:val="nil"/>
            </w:tcBorders>
            <w:shd w:val="clear" w:color="auto" w:fill="auto"/>
          </w:tcPr>
          <w:p w14:paraId="6CD7B1DB" w14:textId="77777777" w:rsidR="00AC0E80" w:rsidRDefault="00AC0E80" w:rsidP="00AC0E80">
            <w:pPr>
              <w:spacing w:after="0" w:line="240" w:lineRule="auto"/>
            </w:pPr>
          </w:p>
        </w:tc>
        <w:tc>
          <w:tcPr>
            <w:tcW w:w="1419" w:type="dxa"/>
            <w:gridSpan w:val="3"/>
            <w:tcBorders>
              <w:top w:val="nil"/>
              <w:left w:val="nil"/>
              <w:bottom w:val="nil"/>
              <w:right w:val="nil"/>
            </w:tcBorders>
            <w:shd w:val="clear" w:color="auto" w:fill="auto"/>
          </w:tcPr>
          <w:p w14:paraId="29CF0164" w14:textId="77777777" w:rsidR="00AC0E80" w:rsidRDefault="00AC0E80" w:rsidP="00AC0E80">
            <w:pPr>
              <w:spacing w:after="0" w:line="240" w:lineRule="auto"/>
            </w:pPr>
          </w:p>
        </w:tc>
      </w:tr>
      <w:tr w:rsidR="00AC0E80" w14:paraId="3B2AEE8B" w14:textId="77777777" w:rsidTr="00AC0E80">
        <w:trPr>
          <w:gridAfter w:val="1"/>
          <w:wAfter w:w="158" w:type="dxa"/>
        </w:trPr>
        <w:tc>
          <w:tcPr>
            <w:tcW w:w="600" w:type="dxa"/>
            <w:tcBorders>
              <w:top w:val="nil"/>
              <w:left w:val="nil"/>
              <w:bottom w:val="nil"/>
              <w:right w:val="nil"/>
            </w:tcBorders>
            <w:shd w:val="clear" w:color="auto" w:fill="auto"/>
          </w:tcPr>
          <w:p w14:paraId="5D4C26E7" w14:textId="77777777" w:rsidR="00AC0E80" w:rsidRDefault="00AC0E80" w:rsidP="00AC0E80">
            <w:pPr>
              <w:spacing w:after="0" w:line="240" w:lineRule="auto"/>
            </w:pPr>
          </w:p>
        </w:tc>
        <w:tc>
          <w:tcPr>
            <w:tcW w:w="709" w:type="dxa"/>
            <w:gridSpan w:val="2"/>
            <w:tcBorders>
              <w:top w:val="nil"/>
              <w:left w:val="nil"/>
              <w:bottom w:val="nil"/>
              <w:right w:val="nil"/>
            </w:tcBorders>
            <w:shd w:val="clear" w:color="auto" w:fill="auto"/>
          </w:tcPr>
          <w:p w14:paraId="4D7D489B" w14:textId="77777777" w:rsidR="00AC0E80" w:rsidRDefault="00AC0E80" w:rsidP="00AC0E80">
            <w:pPr>
              <w:spacing w:after="0" w:line="240" w:lineRule="auto"/>
            </w:pPr>
          </w:p>
        </w:tc>
        <w:tc>
          <w:tcPr>
            <w:tcW w:w="567" w:type="dxa"/>
            <w:tcBorders>
              <w:top w:val="nil"/>
              <w:left w:val="nil"/>
              <w:bottom w:val="nil"/>
              <w:right w:val="nil"/>
            </w:tcBorders>
            <w:shd w:val="clear" w:color="auto" w:fill="auto"/>
          </w:tcPr>
          <w:p w14:paraId="5A57303C" w14:textId="77777777" w:rsidR="00AC0E80" w:rsidRDefault="00AC0E80" w:rsidP="00AC0E80">
            <w:pPr>
              <w:spacing w:after="0" w:line="240" w:lineRule="auto"/>
            </w:pPr>
          </w:p>
        </w:tc>
        <w:tc>
          <w:tcPr>
            <w:tcW w:w="567" w:type="dxa"/>
            <w:tcBorders>
              <w:top w:val="nil"/>
              <w:left w:val="nil"/>
              <w:bottom w:val="nil"/>
              <w:right w:val="nil"/>
            </w:tcBorders>
            <w:shd w:val="clear" w:color="auto" w:fill="auto"/>
          </w:tcPr>
          <w:p w14:paraId="5DE2440A" w14:textId="77777777" w:rsidR="00AC0E80" w:rsidRDefault="00AC0E80" w:rsidP="00AC0E80">
            <w:pPr>
              <w:spacing w:after="0" w:line="240" w:lineRule="auto"/>
            </w:pPr>
          </w:p>
        </w:tc>
        <w:tc>
          <w:tcPr>
            <w:tcW w:w="621" w:type="dxa"/>
            <w:tcBorders>
              <w:top w:val="nil"/>
              <w:left w:val="nil"/>
              <w:bottom w:val="nil"/>
              <w:right w:val="nil"/>
            </w:tcBorders>
            <w:shd w:val="clear" w:color="auto" w:fill="auto"/>
          </w:tcPr>
          <w:p w14:paraId="4C591018" w14:textId="77777777" w:rsidR="00AC0E80" w:rsidRDefault="00AC0E80" w:rsidP="00AC0E80">
            <w:pPr>
              <w:spacing w:after="0" w:line="240" w:lineRule="auto"/>
            </w:pPr>
          </w:p>
        </w:tc>
        <w:tc>
          <w:tcPr>
            <w:tcW w:w="709" w:type="dxa"/>
            <w:gridSpan w:val="2"/>
            <w:tcBorders>
              <w:top w:val="nil"/>
              <w:left w:val="nil"/>
              <w:bottom w:val="nil"/>
              <w:right w:val="nil"/>
            </w:tcBorders>
            <w:shd w:val="clear" w:color="auto" w:fill="auto"/>
          </w:tcPr>
          <w:p w14:paraId="0FCB481B" w14:textId="77777777" w:rsidR="00AC0E80" w:rsidRDefault="00AC0E80" w:rsidP="00AC0E80">
            <w:pPr>
              <w:spacing w:after="0" w:line="240" w:lineRule="auto"/>
            </w:pPr>
          </w:p>
        </w:tc>
        <w:tc>
          <w:tcPr>
            <w:tcW w:w="794" w:type="dxa"/>
            <w:tcBorders>
              <w:top w:val="nil"/>
              <w:left w:val="nil"/>
              <w:bottom w:val="nil"/>
              <w:right w:val="nil"/>
            </w:tcBorders>
            <w:shd w:val="clear" w:color="auto" w:fill="auto"/>
          </w:tcPr>
          <w:p w14:paraId="0499F00E" w14:textId="77777777" w:rsidR="00AC0E80" w:rsidRDefault="00AC0E80" w:rsidP="00AC0E80">
            <w:pPr>
              <w:spacing w:after="0" w:line="240" w:lineRule="auto"/>
            </w:pPr>
          </w:p>
        </w:tc>
        <w:tc>
          <w:tcPr>
            <w:tcW w:w="567" w:type="dxa"/>
            <w:tcBorders>
              <w:top w:val="nil"/>
              <w:left w:val="nil"/>
              <w:bottom w:val="nil"/>
              <w:right w:val="nil"/>
            </w:tcBorders>
            <w:shd w:val="clear" w:color="auto" w:fill="auto"/>
          </w:tcPr>
          <w:p w14:paraId="209AFE10" w14:textId="77777777" w:rsidR="00AC0E80" w:rsidRDefault="00AC0E80" w:rsidP="00AC0E80">
            <w:pPr>
              <w:spacing w:after="0" w:line="240" w:lineRule="auto"/>
            </w:pPr>
          </w:p>
        </w:tc>
        <w:tc>
          <w:tcPr>
            <w:tcW w:w="709" w:type="dxa"/>
            <w:tcBorders>
              <w:top w:val="nil"/>
              <w:left w:val="nil"/>
              <w:bottom w:val="nil"/>
              <w:right w:val="nil"/>
            </w:tcBorders>
            <w:shd w:val="clear" w:color="auto" w:fill="auto"/>
          </w:tcPr>
          <w:p w14:paraId="75116F65" w14:textId="77777777" w:rsidR="00AC0E80" w:rsidRDefault="00AC0E80" w:rsidP="00AC0E80">
            <w:pPr>
              <w:spacing w:after="0" w:line="240" w:lineRule="auto"/>
            </w:pPr>
          </w:p>
        </w:tc>
        <w:tc>
          <w:tcPr>
            <w:tcW w:w="1419" w:type="dxa"/>
            <w:gridSpan w:val="3"/>
            <w:tcBorders>
              <w:top w:val="nil"/>
              <w:left w:val="nil"/>
              <w:bottom w:val="nil"/>
              <w:right w:val="nil"/>
            </w:tcBorders>
            <w:shd w:val="clear" w:color="auto" w:fill="auto"/>
          </w:tcPr>
          <w:p w14:paraId="38EB6FC0" w14:textId="77777777" w:rsidR="00AC0E80" w:rsidRDefault="00AC0E80" w:rsidP="00AC0E80">
            <w:pPr>
              <w:spacing w:after="0" w:line="240" w:lineRule="auto"/>
            </w:pPr>
          </w:p>
        </w:tc>
      </w:tr>
    </w:tbl>
    <w:p w14:paraId="790E2382" w14:textId="77777777" w:rsidR="00D560A5" w:rsidRDefault="00D560A5">
      <w:pPr>
        <w:spacing w:line="288" w:lineRule="auto"/>
        <w:rPr>
          <w:rFonts w:eastAsia="Arial" w:cstheme="minorHAnsi"/>
          <w:b/>
          <w:bCs/>
          <w:color w:val="5A913C"/>
        </w:rPr>
      </w:pPr>
    </w:p>
    <w:p w14:paraId="2DB770DE" w14:textId="77777777" w:rsidR="00C64FB9" w:rsidRDefault="00C64FB9" w:rsidP="00C64FB9"/>
    <w:tbl>
      <w:tblPr>
        <w:tblStyle w:val="TableGrid"/>
        <w:tblW w:w="4978" w:type="pct"/>
        <w:tblLook w:val="04A0" w:firstRow="1" w:lastRow="0" w:firstColumn="1" w:lastColumn="0" w:noHBand="0" w:noVBand="1"/>
      </w:tblPr>
      <w:tblGrid>
        <w:gridCol w:w="650"/>
        <w:gridCol w:w="13237"/>
      </w:tblGrid>
      <w:tr w:rsidR="0067006B" w:rsidRPr="0075608C" w14:paraId="3BD9A6FF" w14:textId="77777777" w:rsidTr="00235F82">
        <w:tc>
          <w:tcPr>
            <w:tcW w:w="650" w:type="dxa"/>
            <w:shd w:val="clear" w:color="auto" w:fill="5A913C"/>
            <w:tcMar>
              <w:left w:w="108" w:type="dxa"/>
            </w:tcMar>
          </w:tcPr>
          <w:p w14:paraId="39948F52" w14:textId="5DE2FAE9" w:rsidR="0067006B" w:rsidRDefault="0067006B" w:rsidP="00235F82">
            <w:pPr>
              <w:spacing w:after="0" w:line="288" w:lineRule="auto"/>
              <w:rPr>
                <w:rFonts w:cstheme="minorHAnsi"/>
                <w:b/>
                <w:bCs/>
                <w:color w:val="171717" w:themeColor="background2" w:themeShade="1A"/>
              </w:rPr>
            </w:pPr>
            <w:r>
              <w:rPr>
                <w:rFonts w:cstheme="minorHAnsi"/>
                <w:b/>
                <w:bCs/>
                <w:color w:val="171717" w:themeColor="background2" w:themeShade="1A"/>
              </w:rPr>
              <w:lastRenderedPageBreak/>
              <w:t>1</w:t>
            </w:r>
          </w:p>
        </w:tc>
        <w:tc>
          <w:tcPr>
            <w:tcW w:w="13237" w:type="dxa"/>
            <w:shd w:val="clear" w:color="auto" w:fill="auto"/>
            <w:tcMar>
              <w:left w:w="108" w:type="dxa"/>
            </w:tcMar>
          </w:tcPr>
          <w:p w14:paraId="7B581DD6" w14:textId="77777777" w:rsidR="0067006B" w:rsidRPr="0067006B" w:rsidRDefault="0067006B" w:rsidP="003F0672">
            <w:pPr>
              <w:spacing w:after="0" w:line="240" w:lineRule="auto"/>
              <w:rPr>
                <w:rFonts w:eastAsia="Times New Roman"/>
                <w:color w:val="5A913C"/>
              </w:rPr>
            </w:pPr>
            <w:r w:rsidRPr="0067006B">
              <w:rPr>
                <w:rFonts w:eastAsia="Times New Roman"/>
                <w:color w:val="5A913C"/>
              </w:rPr>
              <w:t>Discussion on the new budget proposal</w:t>
            </w:r>
          </w:p>
          <w:p w14:paraId="688DEB85" w14:textId="0B12E79B" w:rsidR="0067006B" w:rsidRDefault="0067006B" w:rsidP="003F0672">
            <w:pPr>
              <w:spacing w:line="240" w:lineRule="auto"/>
              <w:rPr>
                <w:rFonts w:eastAsia="Arial" w:cstheme="minorHAnsi"/>
              </w:rPr>
            </w:pPr>
          </w:p>
          <w:p w14:paraId="4B33CBD9" w14:textId="14884B82" w:rsidR="0067006B" w:rsidRDefault="0067006B" w:rsidP="003F0672">
            <w:pPr>
              <w:spacing w:line="240" w:lineRule="auto"/>
            </w:pPr>
            <w:r>
              <w:t>MH gave an overview of the discussions he had been having with NHSE&amp;I and Liverpool CCG since the last LPC meeting. NHSE&amp;I have proposed to increase the total Care at the Chemist envelope to £600K, with £100K of that amount to be transferred to the CCG for the Pharmacy First service.</w:t>
            </w:r>
            <w:r w:rsidR="004D2F76">
              <w:t xml:space="preserve"> </w:t>
            </w:r>
            <w:r>
              <w:t>This ensures that Care at the Chemist funding is not reduced based on 2020/21 spend.</w:t>
            </w:r>
          </w:p>
          <w:p w14:paraId="27C64C79" w14:textId="77777777" w:rsidR="00610BFA" w:rsidRDefault="004D2F76" w:rsidP="003F0672">
            <w:pPr>
              <w:spacing w:line="240" w:lineRule="auto"/>
            </w:pPr>
            <w:r>
              <w:rPr>
                <w:b/>
                <w:bCs/>
              </w:rPr>
              <w:t xml:space="preserve">Vote: </w:t>
            </w:r>
            <w:r w:rsidR="0067006B">
              <w:t>Committee members voted unanimously in favour of this.</w:t>
            </w:r>
          </w:p>
          <w:p w14:paraId="375E6872" w14:textId="174E0945" w:rsidR="004F42A6" w:rsidRPr="0067006B" w:rsidRDefault="004F42A6" w:rsidP="003F0672">
            <w:pPr>
              <w:spacing w:line="240" w:lineRule="auto"/>
            </w:pPr>
          </w:p>
        </w:tc>
      </w:tr>
      <w:tr w:rsidR="0067006B" w:rsidRPr="0075608C" w14:paraId="4EFE64B8" w14:textId="77777777" w:rsidTr="00235F82">
        <w:tc>
          <w:tcPr>
            <w:tcW w:w="650" w:type="dxa"/>
            <w:shd w:val="clear" w:color="auto" w:fill="5A913C"/>
            <w:tcMar>
              <w:left w:w="108" w:type="dxa"/>
            </w:tcMar>
          </w:tcPr>
          <w:p w14:paraId="56EAD36C" w14:textId="3DC51771" w:rsidR="0067006B" w:rsidRDefault="0067006B" w:rsidP="00235F82">
            <w:pPr>
              <w:spacing w:after="0" w:line="288" w:lineRule="auto"/>
              <w:rPr>
                <w:rFonts w:cstheme="minorHAnsi"/>
                <w:b/>
                <w:bCs/>
                <w:color w:val="171717" w:themeColor="background2" w:themeShade="1A"/>
              </w:rPr>
            </w:pPr>
            <w:r>
              <w:rPr>
                <w:rFonts w:cstheme="minorHAnsi"/>
                <w:b/>
                <w:bCs/>
                <w:color w:val="171717" w:themeColor="background2" w:themeShade="1A"/>
              </w:rPr>
              <w:t>2</w:t>
            </w:r>
          </w:p>
        </w:tc>
        <w:tc>
          <w:tcPr>
            <w:tcW w:w="13237" w:type="dxa"/>
            <w:shd w:val="clear" w:color="auto" w:fill="auto"/>
            <w:tcMar>
              <w:left w:w="108" w:type="dxa"/>
            </w:tcMar>
          </w:tcPr>
          <w:p w14:paraId="0C48098C" w14:textId="77777777" w:rsidR="0067006B" w:rsidRPr="0067006B" w:rsidRDefault="0067006B" w:rsidP="004D2F76">
            <w:pPr>
              <w:spacing w:after="0" w:line="240" w:lineRule="auto"/>
              <w:rPr>
                <w:rFonts w:eastAsia="Times New Roman"/>
                <w:color w:val="5A913C"/>
              </w:rPr>
            </w:pPr>
            <w:r w:rsidRPr="0067006B">
              <w:rPr>
                <w:rFonts w:eastAsia="Times New Roman"/>
                <w:color w:val="5A913C"/>
              </w:rPr>
              <w:t>Discussion over the efficiency savings</w:t>
            </w:r>
          </w:p>
          <w:p w14:paraId="78677E95" w14:textId="77777777" w:rsidR="0067006B" w:rsidRDefault="0067006B" w:rsidP="004D2F76">
            <w:pPr>
              <w:spacing w:line="240" w:lineRule="auto"/>
              <w:rPr>
                <w:rFonts w:eastAsia="Arial" w:cstheme="minorHAnsi"/>
              </w:rPr>
            </w:pPr>
          </w:p>
          <w:p w14:paraId="6A6E2626" w14:textId="4DC75332" w:rsidR="0067006B" w:rsidRDefault="0067006B" w:rsidP="004D2F76">
            <w:pPr>
              <w:spacing w:line="240" w:lineRule="auto"/>
            </w:pPr>
            <w:r>
              <w:t>MH had also been looking through the formulary to see whether there were any tweaks that could be made to free up funds for an expansion of the service.</w:t>
            </w:r>
            <w:r w:rsidR="004D2F76">
              <w:t xml:space="preserve"> </w:t>
            </w:r>
            <w:r>
              <w:t>The review also looked at NICE CKS guidance to ensure</w:t>
            </w:r>
            <w:r w:rsidR="00A835FF">
              <w:t xml:space="preserve"> the</w:t>
            </w:r>
            <w:r>
              <w:t xml:space="preserve"> products</w:t>
            </w:r>
            <w:r w:rsidR="00A835FF">
              <w:t xml:space="preserve"> that</w:t>
            </w:r>
            <w:r>
              <w:t xml:space="preserve"> remained </w:t>
            </w:r>
            <w:r w:rsidR="00A835FF">
              <w:t>were those that are</w:t>
            </w:r>
            <w:r>
              <w:t xml:space="preserve"> recommended.</w:t>
            </w:r>
          </w:p>
          <w:p w14:paraId="1EBA7213" w14:textId="77777777" w:rsidR="0067006B" w:rsidRDefault="0067006B" w:rsidP="004D2F76">
            <w:pPr>
              <w:spacing w:line="240" w:lineRule="auto"/>
            </w:pPr>
            <w:r>
              <w:t>Proposals included:</w:t>
            </w:r>
          </w:p>
          <w:p w14:paraId="71B6F673" w14:textId="6924F912" w:rsidR="0067006B" w:rsidRDefault="0067006B" w:rsidP="00A835FF">
            <w:pPr>
              <w:pStyle w:val="ListParagraph"/>
              <w:numPr>
                <w:ilvl w:val="0"/>
                <w:numId w:val="3"/>
              </w:numPr>
              <w:spacing w:line="240" w:lineRule="auto"/>
            </w:pPr>
            <w:r>
              <w:t>Revert pain relief items back to Drug Tariff pricing. </w:t>
            </w:r>
            <w:r w:rsidR="007C7BFC">
              <w:rPr>
                <w:b/>
                <w:bCs/>
              </w:rPr>
              <w:t>Vote:</w:t>
            </w:r>
            <w:r w:rsidR="007C7BFC">
              <w:t xml:space="preserve"> </w:t>
            </w:r>
            <w:r>
              <w:t>Members voted unanimously.</w:t>
            </w:r>
          </w:p>
          <w:p w14:paraId="131998C9" w14:textId="162295F7" w:rsidR="0067006B" w:rsidRDefault="0067006B" w:rsidP="00A835FF">
            <w:pPr>
              <w:pStyle w:val="ListParagraph"/>
              <w:numPr>
                <w:ilvl w:val="0"/>
                <w:numId w:val="3"/>
              </w:numPr>
              <w:spacing w:line="240" w:lineRule="auto"/>
            </w:pPr>
            <w:r>
              <w:t xml:space="preserve">Remove </w:t>
            </w:r>
            <w:r w:rsidR="007C7BFC">
              <w:t>Gaviscon but leave</w:t>
            </w:r>
            <w:r>
              <w:t xml:space="preserve"> </w:t>
            </w:r>
            <w:proofErr w:type="spellStart"/>
            <w:r>
              <w:t>Acidex</w:t>
            </w:r>
            <w:proofErr w:type="spellEnd"/>
            <w:r>
              <w:t xml:space="preserve"> available. </w:t>
            </w:r>
            <w:r w:rsidR="007C7BFC" w:rsidRPr="007C7BFC">
              <w:rPr>
                <w:b/>
                <w:bCs/>
              </w:rPr>
              <w:t>V</w:t>
            </w:r>
            <w:r w:rsidR="007C7BFC">
              <w:rPr>
                <w:b/>
                <w:bCs/>
              </w:rPr>
              <w:t xml:space="preserve">ote: </w:t>
            </w:r>
            <w:r w:rsidRPr="007C7BFC">
              <w:t>Members</w:t>
            </w:r>
            <w:r>
              <w:t xml:space="preserve"> voted unanimously.</w:t>
            </w:r>
          </w:p>
          <w:p w14:paraId="58070600" w14:textId="16FDB64E" w:rsidR="0067006B" w:rsidRDefault="0067006B" w:rsidP="00A835FF">
            <w:pPr>
              <w:pStyle w:val="ListParagraph"/>
              <w:numPr>
                <w:ilvl w:val="0"/>
                <w:numId w:val="3"/>
              </w:numPr>
              <w:spacing w:line="240" w:lineRule="auto"/>
            </w:pPr>
            <w:r>
              <w:t xml:space="preserve">Remove </w:t>
            </w:r>
            <w:r w:rsidR="007C7BFC">
              <w:t>L</w:t>
            </w:r>
            <w:r>
              <w:t>operamide. </w:t>
            </w:r>
            <w:r w:rsidR="007C7BFC">
              <w:rPr>
                <w:b/>
                <w:bCs/>
              </w:rPr>
              <w:t>Vote:</w:t>
            </w:r>
            <w:r>
              <w:t xml:space="preserve"> Members disagreed.</w:t>
            </w:r>
          </w:p>
          <w:p w14:paraId="1D5BBC27" w14:textId="3DB9B405" w:rsidR="0067006B" w:rsidRDefault="0067006B" w:rsidP="004D2F76">
            <w:pPr>
              <w:pStyle w:val="ListParagraph"/>
              <w:numPr>
                <w:ilvl w:val="0"/>
                <w:numId w:val="3"/>
              </w:numPr>
              <w:spacing w:line="240" w:lineRule="auto"/>
            </w:pPr>
            <w:r>
              <w:t xml:space="preserve">Remove </w:t>
            </w:r>
            <w:proofErr w:type="spellStart"/>
            <w:r w:rsidR="007C7BFC">
              <w:t>P</w:t>
            </w:r>
            <w:r>
              <w:t>holcodeine</w:t>
            </w:r>
            <w:proofErr w:type="spellEnd"/>
            <w:r>
              <w:t>. </w:t>
            </w:r>
            <w:r w:rsidR="007C7BFC">
              <w:rPr>
                <w:b/>
                <w:bCs/>
              </w:rPr>
              <w:t xml:space="preserve">Vote: </w:t>
            </w:r>
            <w:r>
              <w:t>Members voted unanimously.</w:t>
            </w:r>
          </w:p>
          <w:p w14:paraId="5FB0AA7E" w14:textId="77777777" w:rsidR="00610BFA" w:rsidRDefault="0067006B" w:rsidP="004D2F76">
            <w:pPr>
              <w:spacing w:line="240" w:lineRule="auto"/>
            </w:pPr>
            <w:r>
              <w:t xml:space="preserve">Members also recommended removing </w:t>
            </w:r>
            <w:r w:rsidR="007C7BFC">
              <w:t>R</w:t>
            </w:r>
            <w:r>
              <w:t>anitidine from the formulary as not available currently and to prevent any cost pressure if it came back.</w:t>
            </w:r>
          </w:p>
          <w:p w14:paraId="09BDBCBD" w14:textId="7D707E78" w:rsidR="004F42A6" w:rsidRPr="0067006B" w:rsidRDefault="004F42A6" w:rsidP="004D2F76">
            <w:pPr>
              <w:spacing w:line="240" w:lineRule="auto"/>
            </w:pPr>
          </w:p>
        </w:tc>
      </w:tr>
    </w:tbl>
    <w:p w14:paraId="71FC2188" w14:textId="77777777" w:rsidR="00C61F73" w:rsidRDefault="00C61F73">
      <w:pPr>
        <w:spacing w:line="288" w:lineRule="auto"/>
        <w:rPr>
          <w:rFonts w:cstheme="minorHAnsi"/>
        </w:rPr>
      </w:pPr>
    </w:p>
    <w:tbl>
      <w:tblPr>
        <w:tblStyle w:val="TableGrid"/>
        <w:tblW w:w="4978" w:type="pct"/>
        <w:tblLook w:val="04A0" w:firstRow="1" w:lastRow="0" w:firstColumn="1" w:lastColumn="0" w:noHBand="0" w:noVBand="1"/>
      </w:tblPr>
      <w:tblGrid>
        <w:gridCol w:w="650"/>
        <w:gridCol w:w="13237"/>
      </w:tblGrid>
      <w:tr w:rsidR="00C61F73" w:rsidRPr="0075608C" w14:paraId="69CADE23" w14:textId="77777777" w:rsidTr="00235F82">
        <w:tc>
          <w:tcPr>
            <w:tcW w:w="650" w:type="dxa"/>
            <w:shd w:val="clear" w:color="auto" w:fill="5A913C"/>
            <w:tcMar>
              <w:left w:w="108" w:type="dxa"/>
            </w:tcMar>
          </w:tcPr>
          <w:p w14:paraId="37E463FF" w14:textId="77777777" w:rsidR="00C61F73" w:rsidRDefault="00C61F73" w:rsidP="00235F82">
            <w:pPr>
              <w:spacing w:after="0" w:line="288" w:lineRule="auto"/>
              <w:rPr>
                <w:rFonts w:cstheme="minorHAnsi"/>
                <w:b/>
                <w:bCs/>
                <w:color w:val="171717" w:themeColor="background2" w:themeShade="1A"/>
              </w:rPr>
            </w:pPr>
            <w:r>
              <w:rPr>
                <w:rFonts w:cstheme="minorHAnsi"/>
                <w:b/>
                <w:bCs/>
                <w:color w:val="171717" w:themeColor="background2" w:themeShade="1A"/>
              </w:rPr>
              <w:t>3</w:t>
            </w:r>
          </w:p>
        </w:tc>
        <w:tc>
          <w:tcPr>
            <w:tcW w:w="13237" w:type="dxa"/>
            <w:shd w:val="clear" w:color="auto" w:fill="auto"/>
            <w:tcMar>
              <w:left w:w="108" w:type="dxa"/>
            </w:tcMar>
          </w:tcPr>
          <w:p w14:paraId="4FDD0C32" w14:textId="77777777" w:rsidR="00C61F73" w:rsidRPr="000F1B7A" w:rsidRDefault="00C61F73" w:rsidP="00235F82">
            <w:pPr>
              <w:spacing w:after="0" w:line="240" w:lineRule="auto"/>
              <w:rPr>
                <w:rFonts w:eastAsia="Times New Roman"/>
                <w:color w:val="5A913C"/>
              </w:rPr>
            </w:pPr>
            <w:r w:rsidRPr="000F1B7A">
              <w:rPr>
                <w:rFonts w:eastAsia="Times New Roman"/>
                <w:color w:val="5A913C"/>
              </w:rPr>
              <w:t>Care at the Chemist Plus</w:t>
            </w:r>
          </w:p>
          <w:p w14:paraId="6E29BCD8" w14:textId="77777777" w:rsidR="00C61F73" w:rsidRDefault="00C61F73" w:rsidP="00235F82">
            <w:pPr>
              <w:spacing w:after="0" w:line="240" w:lineRule="auto"/>
              <w:rPr>
                <w:rFonts w:eastAsia="Times New Roman"/>
              </w:rPr>
            </w:pPr>
          </w:p>
          <w:p w14:paraId="523E8CC6" w14:textId="174F0D0D" w:rsidR="00C61F73" w:rsidRDefault="00C61F73" w:rsidP="00235F82">
            <w:r>
              <w:t>MH has been having discussions with NHSE and the CCG around expanding the protocols and formulary of Care at the Chemist but only for CPCS consultations. Members were happy with this</w:t>
            </w:r>
            <w:r w:rsidR="004F42A6">
              <w:t xml:space="preserve"> </w:t>
            </w:r>
            <w:r>
              <w:t>and listed the following treatments/conditions that might be included:</w:t>
            </w:r>
          </w:p>
          <w:p w14:paraId="44AB6DC2" w14:textId="77777777" w:rsidR="00C61F73" w:rsidRDefault="00C61F73" w:rsidP="004F42A6">
            <w:pPr>
              <w:pStyle w:val="ListParagraph"/>
              <w:numPr>
                <w:ilvl w:val="0"/>
                <w:numId w:val="4"/>
              </w:numPr>
            </w:pPr>
            <w:r>
              <w:t>Ear Calm Spray (currently 2</w:t>
            </w:r>
            <w:r w:rsidRPr="004F42A6">
              <w:rPr>
                <w:vertAlign w:val="superscript"/>
              </w:rPr>
              <w:t>nd</w:t>
            </w:r>
            <w:r>
              <w:t xml:space="preserve"> line Pan Mersey)</w:t>
            </w:r>
          </w:p>
          <w:p w14:paraId="7F9E7F8B" w14:textId="77777777" w:rsidR="00C61F73" w:rsidRDefault="00C61F73" w:rsidP="004F42A6">
            <w:pPr>
              <w:pStyle w:val="ListParagraph"/>
              <w:numPr>
                <w:ilvl w:val="0"/>
                <w:numId w:val="4"/>
              </w:numPr>
            </w:pPr>
            <w:r>
              <w:t>Hyoscine</w:t>
            </w:r>
          </w:p>
          <w:p w14:paraId="7E8FF00D" w14:textId="77777777" w:rsidR="00C61F73" w:rsidRDefault="00C61F73" w:rsidP="004F42A6">
            <w:pPr>
              <w:pStyle w:val="ListParagraph"/>
              <w:numPr>
                <w:ilvl w:val="0"/>
                <w:numId w:val="4"/>
              </w:numPr>
            </w:pPr>
            <w:r>
              <w:t>Esomeprazole</w:t>
            </w:r>
          </w:p>
          <w:p w14:paraId="72F92CF6" w14:textId="77777777" w:rsidR="00C61F73" w:rsidRDefault="00C61F73" w:rsidP="004F42A6">
            <w:pPr>
              <w:pStyle w:val="ListParagraph"/>
              <w:numPr>
                <w:ilvl w:val="0"/>
                <w:numId w:val="4"/>
              </w:numPr>
            </w:pPr>
            <w:r>
              <w:t>Dry eye treatment</w:t>
            </w:r>
          </w:p>
          <w:p w14:paraId="5C3EDE83" w14:textId="77777777" w:rsidR="00C61F73" w:rsidRDefault="00C61F73" w:rsidP="004F42A6">
            <w:pPr>
              <w:pStyle w:val="ListParagraph"/>
              <w:numPr>
                <w:ilvl w:val="0"/>
                <w:numId w:val="4"/>
              </w:numPr>
            </w:pPr>
            <w:proofErr w:type="spellStart"/>
            <w:r>
              <w:t>Difflam</w:t>
            </w:r>
            <w:proofErr w:type="spellEnd"/>
            <w:r>
              <w:t xml:space="preserve"> Spray (many OOH scripts for this)</w:t>
            </w:r>
          </w:p>
          <w:p w14:paraId="72EB3F3F" w14:textId="77777777" w:rsidR="00C61F73" w:rsidRDefault="00C61F73" w:rsidP="004F42A6">
            <w:pPr>
              <w:pStyle w:val="ListParagraph"/>
              <w:numPr>
                <w:ilvl w:val="0"/>
                <w:numId w:val="4"/>
              </w:numPr>
            </w:pPr>
            <w:r>
              <w:t>Magnesium Sulphate Paste</w:t>
            </w:r>
          </w:p>
          <w:p w14:paraId="45E65729" w14:textId="77777777" w:rsidR="00C61F73" w:rsidRDefault="00C61F73" w:rsidP="004F42A6">
            <w:pPr>
              <w:pStyle w:val="ListParagraph"/>
              <w:numPr>
                <w:ilvl w:val="0"/>
                <w:numId w:val="4"/>
              </w:numPr>
            </w:pPr>
            <w:r>
              <w:t>Impetigo treatment (would be a PGD)</w:t>
            </w:r>
          </w:p>
          <w:p w14:paraId="30AAA2BA" w14:textId="77777777" w:rsidR="00C61F73" w:rsidRDefault="00C61F73" w:rsidP="004F42A6">
            <w:pPr>
              <w:pStyle w:val="ListParagraph"/>
              <w:numPr>
                <w:ilvl w:val="0"/>
                <w:numId w:val="4"/>
              </w:numPr>
            </w:pPr>
            <w:r>
              <w:t>Nystatin in addition to miconazole</w:t>
            </w:r>
          </w:p>
          <w:p w14:paraId="2356B49B" w14:textId="585EA920" w:rsidR="00C61F73" w:rsidRDefault="00C61F73" w:rsidP="00235F82">
            <w:r>
              <w:t>Members also branched out to discussions of other long-term condition treatments, including spacer devices for those with respiratory conditions, blood pressure management and inhaler technique. It was deemed these</w:t>
            </w:r>
            <w:r w:rsidR="004F42A6">
              <w:t xml:space="preserve"> items</w:t>
            </w:r>
            <w:r>
              <w:t xml:space="preserve"> fall outside of the acute treatment episode nature of Care at the Chemist, but MH can take these away and work up proposals. </w:t>
            </w:r>
          </w:p>
          <w:p w14:paraId="0D447BCC" w14:textId="727B88D4" w:rsidR="00C61F73" w:rsidRDefault="00C61F73" w:rsidP="004F42A6">
            <w:pPr>
              <w:spacing w:after="0" w:line="240" w:lineRule="auto"/>
            </w:pPr>
            <w:r>
              <w:t>JD also detailed a funding bid invitation he had been sent over blood pressure.  JD will send this over to MH to see whether a bid is feasible.</w:t>
            </w:r>
          </w:p>
          <w:p w14:paraId="083D1CF6" w14:textId="77777777" w:rsidR="004F42A6" w:rsidRDefault="004F42A6" w:rsidP="004F42A6">
            <w:pPr>
              <w:spacing w:after="0" w:line="240" w:lineRule="auto"/>
            </w:pPr>
          </w:p>
          <w:p w14:paraId="5DE9B4D3" w14:textId="2B94F9EB" w:rsidR="004F42A6" w:rsidRPr="004F42A6" w:rsidRDefault="004F42A6" w:rsidP="004F42A6">
            <w:pPr>
              <w:spacing w:after="0" w:line="240" w:lineRule="auto"/>
              <w:rPr>
                <w:rFonts w:eastAsia="Times New Roman"/>
              </w:rPr>
            </w:pPr>
          </w:p>
        </w:tc>
      </w:tr>
      <w:tr w:rsidR="00C61F73" w:rsidRPr="0067006B" w14:paraId="0AA7A489" w14:textId="77777777" w:rsidTr="00235F82">
        <w:tc>
          <w:tcPr>
            <w:tcW w:w="650" w:type="dxa"/>
            <w:shd w:val="clear" w:color="auto" w:fill="5A913C"/>
            <w:tcMar>
              <w:left w:w="108" w:type="dxa"/>
            </w:tcMar>
          </w:tcPr>
          <w:p w14:paraId="26B8DC9A" w14:textId="77777777" w:rsidR="00C61F73" w:rsidRDefault="00C61F73" w:rsidP="00235F82">
            <w:pPr>
              <w:spacing w:after="0" w:line="288" w:lineRule="auto"/>
              <w:rPr>
                <w:rFonts w:cstheme="minorHAnsi"/>
                <w:b/>
                <w:bCs/>
                <w:color w:val="171717" w:themeColor="background2" w:themeShade="1A"/>
              </w:rPr>
            </w:pPr>
            <w:r>
              <w:rPr>
                <w:rFonts w:cstheme="minorHAnsi"/>
                <w:b/>
                <w:bCs/>
                <w:color w:val="171717" w:themeColor="background2" w:themeShade="1A"/>
              </w:rPr>
              <w:t>4</w:t>
            </w:r>
          </w:p>
        </w:tc>
        <w:tc>
          <w:tcPr>
            <w:tcW w:w="13237" w:type="dxa"/>
            <w:shd w:val="clear" w:color="auto" w:fill="auto"/>
            <w:tcMar>
              <w:left w:w="108" w:type="dxa"/>
            </w:tcMar>
          </w:tcPr>
          <w:p w14:paraId="1CF3CB67" w14:textId="2B8CCB3B" w:rsidR="00C61F73" w:rsidRPr="004F42A6" w:rsidRDefault="00C61F73" w:rsidP="00235F82">
            <w:pPr>
              <w:spacing w:after="0" w:line="240" w:lineRule="auto"/>
              <w:rPr>
                <w:rFonts w:eastAsia="Times New Roman"/>
                <w:color w:val="5A913C"/>
              </w:rPr>
            </w:pPr>
            <w:r w:rsidRPr="004F42A6">
              <w:rPr>
                <w:rFonts w:eastAsia="Times New Roman"/>
                <w:color w:val="5A913C"/>
              </w:rPr>
              <w:t>PSNC Chairs and Chief Officer’s meeting</w:t>
            </w:r>
          </w:p>
          <w:p w14:paraId="4FCEDE85" w14:textId="77777777" w:rsidR="00C61F73" w:rsidRDefault="00C61F73" w:rsidP="00235F82">
            <w:pPr>
              <w:spacing w:after="0" w:line="240" w:lineRule="auto"/>
              <w:rPr>
                <w:rFonts w:eastAsia="Times New Roman"/>
              </w:rPr>
            </w:pPr>
          </w:p>
          <w:p w14:paraId="4E3B85AF" w14:textId="7A4BDEFA" w:rsidR="00C61F73" w:rsidRPr="00FB7B01" w:rsidRDefault="00C61F73" w:rsidP="00235F82">
            <w:pPr>
              <w:rPr>
                <w:rFonts w:cstheme="minorHAnsi"/>
                <w:color w:val="000000"/>
              </w:rPr>
            </w:pPr>
            <w:r w:rsidRPr="00FB7B01">
              <w:rPr>
                <w:rFonts w:cstheme="minorHAnsi"/>
              </w:rPr>
              <w:t>PSNC are holding a LPC meeting on 17</w:t>
            </w:r>
            <w:r w:rsidRPr="00FB7B01">
              <w:rPr>
                <w:rFonts w:cstheme="minorHAnsi"/>
                <w:vertAlign w:val="superscript"/>
              </w:rPr>
              <w:t>th</w:t>
            </w:r>
            <w:r w:rsidRPr="00FB7B01">
              <w:rPr>
                <w:rFonts w:cstheme="minorHAnsi"/>
              </w:rPr>
              <w:t xml:space="preserve"> </w:t>
            </w:r>
            <w:r w:rsidR="00FB7B01" w:rsidRPr="00FB7B01">
              <w:rPr>
                <w:rFonts w:cstheme="minorHAnsi"/>
              </w:rPr>
              <w:t>March 2021</w:t>
            </w:r>
            <w:r w:rsidRPr="00FB7B01">
              <w:rPr>
                <w:rFonts w:cstheme="minorHAnsi"/>
              </w:rPr>
              <w:t>.</w:t>
            </w:r>
            <w:r w:rsidR="00FB7B01">
              <w:rPr>
                <w:rFonts w:cstheme="minorHAnsi"/>
              </w:rPr>
              <w:t xml:space="preserve"> </w:t>
            </w:r>
            <w:r w:rsidRPr="00FB7B01">
              <w:rPr>
                <w:rFonts w:cstheme="minorHAnsi"/>
                <w:color w:val="000000"/>
              </w:rPr>
              <w:t>Ahead of the event, they asked for LPCs to come up with their top five priorities and enablers for the year ahead, so that these are ready to share for discussion in the breakout groups.  Members came up with the following for MH and GW to report back:</w:t>
            </w:r>
          </w:p>
          <w:p w14:paraId="5D0773F2" w14:textId="77777777" w:rsidR="00C61F73" w:rsidRDefault="00C61F73" w:rsidP="00FB7B01">
            <w:pPr>
              <w:pStyle w:val="ListParagraph"/>
              <w:numPr>
                <w:ilvl w:val="0"/>
                <w:numId w:val="5"/>
              </w:numPr>
            </w:pPr>
            <w:r>
              <w:t xml:space="preserve">PCN Leads and Clinical Directors attending meetings regularly together.  </w:t>
            </w:r>
          </w:p>
          <w:p w14:paraId="01F8020E" w14:textId="1CEB2576" w:rsidR="00C61F73" w:rsidRDefault="00C61F73" w:rsidP="00FB7B01">
            <w:pPr>
              <w:pStyle w:val="ListParagraph"/>
              <w:numPr>
                <w:ilvl w:val="0"/>
                <w:numId w:val="5"/>
              </w:numPr>
            </w:pPr>
            <w:r>
              <w:t>Ensure enough pharmacists on boards of ICS etc</w:t>
            </w:r>
            <w:r w:rsidR="004C443A">
              <w:t>,</w:t>
            </w:r>
            <w:r>
              <w:t xml:space="preserve"> </w:t>
            </w:r>
            <w:r w:rsidR="00FB7B01">
              <w:t>to</w:t>
            </w:r>
            <w:r>
              <w:t xml:space="preserve"> not dilute the voice of pharmacy on these.</w:t>
            </w:r>
          </w:p>
          <w:p w14:paraId="22737F39" w14:textId="77777777" w:rsidR="00C61F73" w:rsidRDefault="00C61F73" w:rsidP="004C443A">
            <w:pPr>
              <w:pStyle w:val="ListParagraph"/>
              <w:numPr>
                <w:ilvl w:val="0"/>
                <w:numId w:val="5"/>
              </w:numPr>
            </w:pPr>
            <w:r>
              <w:t>Embed ourselves and work collaboratively with upper echelons of NHSE local team.</w:t>
            </w:r>
          </w:p>
          <w:p w14:paraId="43E460A9" w14:textId="77777777" w:rsidR="00C61F73" w:rsidRDefault="00C61F73" w:rsidP="004C443A">
            <w:pPr>
              <w:pStyle w:val="ListParagraph"/>
              <w:numPr>
                <w:ilvl w:val="0"/>
                <w:numId w:val="5"/>
              </w:numPr>
            </w:pPr>
            <w:r>
              <w:t>Continue to collaborate as 4 LPCs and share workstreams more closely.</w:t>
            </w:r>
          </w:p>
          <w:p w14:paraId="2B5D11A8" w14:textId="77777777" w:rsidR="00C61F73" w:rsidRDefault="00C61F73" w:rsidP="00932C99">
            <w:pPr>
              <w:pStyle w:val="ListParagraph"/>
              <w:numPr>
                <w:ilvl w:val="0"/>
                <w:numId w:val="5"/>
              </w:numPr>
            </w:pPr>
            <w:r>
              <w:t xml:space="preserve">Developing services to be fit for the future and adapts with new NHS ways of working.  </w:t>
            </w:r>
          </w:p>
          <w:p w14:paraId="2C7B20D7" w14:textId="77777777" w:rsidR="00C61F73" w:rsidRPr="0067006B" w:rsidRDefault="00C61F73" w:rsidP="00235F82">
            <w:pPr>
              <w:spacing w:after="0" w:line="240" w:lineRule="auto"/>
              <w:rPr>
                <w:rFonts w:eastAsia="Times New Roman"/>
              </w:rPr>
            </w:pPr>
          </w:p>
        </w:tc>
      </w:tr>
    </w:tbl>
    <w:p w14:paraId="31E1A0D9" w14:textId="77777777" w:rsidR="00C61F73" w:rsidRPr="000716A7" w:rsidRDefault="00C61F73">
      <w:pPr>
        <w:spacing w:line="288" w:lineRule="auto"/>
        <w:rPr>
          <w:rFonts w:cstheme="minorHAnsi"/>
        </w:rPr>
      </w:pPr>
    </w:p>
    <w:sectPr w:rsidR="00C61F73" w:rsidRPr="000716A7">
      <w:headerReference w:type="default" r:id="rId8"/>
      <w:footerReference w:type="default" r:id="rId9"/>
      <w:pgSz w:w="16838" w:h="11906" w:orient="landscape"/>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FD4E8" w14:textId="77777777" w:rsidR="00542162" w:rsidRDefault="00542162">
      <w:pPr>
        <w:spacing w:after="0" w:line="240" w:lineRule="auto"/>
      </w:pPr>
      <w:r>
        <w:separator/>
      </w:r>
    </w:p>
  </w:endnote>
  <w:endnote w:type="continuationSeparator" w:id="0">
    <w:p w14:paraId="35F85A22" w14:textId="77777777" w:rsidR="00542162" w:rsidRDefault="00542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mp;quot">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03D37" w14:textId="77777777" w:rsidR="00D560A5" w:rsidRDefault="0005204D">
    <w:pPr>
      <w:pStyle w:val="paragraph"/>
      <w:spacing w:beforeAutospacing="0" w:after="0" w:afterAutospacing="0"/>
      <w:jc w:val="center"/>
      <w:textAlignment w:val="baseline"/>
      <w:rPr>
        <w:rFonts w:ascii="&amp;quot" w:hAnsi="&amp;quot"/>
        <w:sz w:val="18"/>
        <w:szCs w:val="18"/>
      </w:rPr>
    </w:pPr>
    <w:r>
      <w:rPr>
        <w:noProof/>
      </w:rPr>
      <w:drawing>
        <wp:inline distT="0" distB="2540" distL="0" distR="2540" wp14:anchorId="650151C2" wp14:editId="7EAA6D9E">
          <wp:extent cx="5731510" cy="607060"/>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1"/>
                  <a:stretch>
                    <a:fillRect/>
                  </a:stretch>
                </pic:blipFill>
                <pic:spPr bwMode="auto">
                  <a:xfrm>
                    <a:off x="0" y="0"/>
                    <a:ext cx="5731510" cy="6070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BFED4" w14:textId="77777777" w:rsidR="00542162" w:rsidRDefault="00542162">
      <w:pPr>
        <w:spacing w:after="0" w:line="240" w:lineRule="auto"/>
      </w:pPr>
      <w:r>
        <w:separator/>
      </w:r>
    </w:p>
  </w:footnote>
  <w:footnote w:type="continuationSeparator" w:id="0">
    <w:p w14:paraId="3FF84EF5" w14:textId="77777777" w:rsidR="00542162" w:rsidRDefault="00542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140BA" w14:textId="77777777" w:rsidR="00D560A5" w:rsidRDefault="0005204D">
    <w:pPr>
      <w:pStyle w:val="paragraph"/>
      <w:spacing w:beforeAutospacing="0" w:after="0" w:afterAutospacing="0"/>
      <w:jc w:val="center"/>
      <w:textAlignment w:val="baseline"/>
      <w:rPr>
        <w:rFonts w:ascii="&amp;quot" w:hAnsi="&amp;quot"/>
        <w:sz w:val="12"/>
        <w:szCs w:val="12"/>
      </w:rPr>
    </w:pPr>
    <w:r>
      <w:rPr>
        <w:noProof/>
      </w:rPr>
      <w:drawing>
        <wp:inline distT="0" distB="1270" distL="0" distR="0" wp14:anchorId="6DF2EBB4" wp14:editId="1B4945A3">
          <wp:extent cx="4580255" cy="1065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4580255" cy="1065530"/>
                  </a:xfrm>
                  <a:prstGeom prst="rect">
                    <a:avLst/>
                  </a:prstGeom>
                </pic:spPr>
              </pic:pic>
            </a:graphicData>
          </a:graphic>
        </wp:inline>
      </w:drawing>
    </w:r>
  </w:p>
  <w:p w14:paraId="3C2CC230" w14:textId="77777777" w:rsidR="00D560A5" w:rsidRDefault="00D560A5">
    <w:pPr>
      <w:pStyle w:val="Header"/>
      <w:jc w:val="center"/>
    </w:pPr>
  </w:p>
  <w:p w14:paraId="1C228222" w14:textId="77777777" w:rsidR="00D560A5" w:rsidRDefault="00D560A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1B26A5"/>
    <w:multiLevelType w:val="hybridMultilevel"/>
    <w:tmpl w:val="0DBA1B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EB378D3"/>
    <w:multiLevelType w:val="hybridMultilevel"/>
    <w:tmpl w:val="BB50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CE1DB7"/>
    <w:multiLevelType w:val="hybridMultilevel"/>
    <w:tmpl w:val="5F90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5A7FDD"/>
    <w:multiLevelType w:val="hybridMultilevel"/>
    <w:tmpl w:val="2BB8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0A5"/>
    <w:rsid w:val="0005204D"/>
    <w:rsid w:val="000716A7"/>
    <w:rsid w:val="000B1176"/>
    <w:rsid w:val="000F1B7A"/>
    <w:rsid w:val="00177C04"/>
    <w:rsid w:val="00186C04"/>
    <w:rsid w:val="001A7A33"/>
    <w:rsid w:val="00295EE5"/>
    <w:rsid w:val="002E63C4"/>
    <w:rsid w:val="00302701"/>
    <w:rsid w:val="0033689F"/>
    <w:rsid w:val="00344477"/>
    <w:rsid w:val="00354F1E"/>
    <w:rsid w:val="003E627C"/>
    <w:rsid w:val="003F0672"/>
    <w:rsid w:val="00441799"/>
    <w:rsid w:val="00471E75"/>
    <w:rsid w:val="004B1469"/>
    <w:rsid w:val="004C2F8A"/>
    <w:rsid w:val="004C443A"/>
    <w:rsid w:val="004D2F76"/>
    <w:rsid w:val="004F42A6"/>
    <w:rsid w:val="00515037"/>
    <w:rsid w:val="00516659"/>
    <w:rsid w:val="00542162"/>
    <w:rsid w:val="0055402B"/>
    <w:rsid w:val="00610BFA"/>
    <w:rsid w:val="0065339C"/>
    <w:rsid w:val="0067006B"/>
    <w:rsid w:val="00681047"/>
    <w:rsid w:val="006C4DFA"/>
    <w:rsid w:val="007C6894"/>
    <w:rsid w:val="007C7BFC"/>
    <w:rsid w:val="00816337"/>
    <w:rsid w:val="008B1C5C"/>
    <w:rsid w:val="00932C99"/>
    <w:rsid w:val="009D58DB"/>
    <w:rsid w:val="00A03C48"/>
    <w:rsid w:val="00A35ED5"/>
    <w:rsid w:val="00A3656E"/>
    <w:rsid w:val="00A71A3B"/>
    <w:rsid w:val="00A835FF"/>
    <w:rsid w:val="00AA2081"/>
    <w:rsid w:val="00AC0E80"/>
    <w:rsid w:val="00BC34A9"/>
    <w:rsid w:val="00C61F73"/>
    <w:rsid w:val="00C64FB9"/>
    <w:rsid w:val="00CD0224"/>
    <w:rsid w:val="00CD7C61"/>
    <w:rsid w:val="00CE4329"/>
    <w:rsid w:val="00CE5D95"/>
    <w:rsid w:val="00D24DFD"/>
    <w:rsid w:val="00D457E9"/>
    <w:rsid w:val="00D560A5"/>
    <w:rsid w:val="00DF1A8C"/>
    <w:rsid w:val="00E0102F"/>
    <w:rsid w:val="00E067A2"/>
    <w:rsid w:val="00FB7B0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E92EC"/>
  <w15:docId w15:val="{50582919-43DA-42D5-8DAE-6C74DADE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0C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000CD"/>
  </w:style>
  <w:style w:type="character" w:styleId="CommentReference">
    <w:name w:val="annotation reference"/>
    <w:basedOn w:val="DefaultParagraphFont"/>
    <w:uiPriority w:val="99"/>
    <w:semiHidden/>
    <w:unhideWhenUsed/>
    <w:qFormat/>
    <w:rsid w:val="005846B5"/>
    <w:rPr>
      <w:sz w:val="16"/>
      <w:szCs w:val="16"/>
    </w:rPr>
  </w:style>
  <w:style w:type="character" w:customStyle="1" w:styleId="CommentTextChar">
    <w:name w:val="Comment Text Char"/>
    <w:basedOn w:val="DefaultParagraphFont"/>
    <w:link w:val="CommentText"/>
    <w:uiPriority w:val="99"/>
    <w:semiHidden/>
    <w:qFormat/>
    <w:rsid w:val="005846B5"/>
    <w:rPr>
      <w:sz w:val="20"/>
      <w:szCs w:val="20"/>
    </w:rPr>
  </w:style>
  <w:style w:type="character" w:customStyle="1" w:styleId="CommentSubjectChar">
    <w:name w:val="Comment Subject Char"/>
    <w:basedOn w:val="CommentTextChar"/>
    <w:link w:val="CommentSubject"/>
    <w:uiPriority w:val="99"/>
    <w:semiHidden/>
    <w:qFormat/>
    <w:rsid w:val="005846B5"/>
    <w:rPr>
      <w:b/>
      <w:bCs/>
      <w:sz w:val="20"/>
      <w:szCs w:val="20"/>
    </w:rPr>
  </w:style>
  <w:style w:type="character" w:customStyle="1" w:styleId="BalloonTextChar">
    <w:name w:val="Balloon Text Char"/>
    <w:basedOn w:val="DefaultParagraphFont"/>
    <w:link w:val="BalloonText"/>
    <w:uiPriority w:val="99"/>
    <w:semiHidden/>
    <w:qFormat/>
    <w:rsid w:val="005846B5"/>
    <w:rPr>
      <w:rFonts w:ascii="Segoe UI" w:hAnsi="Segoe UI" w:cs="Segoe UI"/>
      <w:sz w:val="18"/>
      <w:szCs w:val="18"/>
    </w:rPr>
  </w:style>
  <w:style w:type="character" w:customStyle="1" w:styleId="InternetLink">
    <w:name w:val="Internet Link"/>
    <w:basedOn w:val="DefaultParagraphFont"/>
    <w:uiPriority w:val="99"/>
    <w:unhideWhenUsed/>
    <w:rsid w:val="00EC40EC"/>
    <w:rPr>
      <w:color w:val="0563C1" w:themeColor="hyperlink"/>
      <w:u w:val="single"/>
    </w:rPr>
  </w:style>
  <w:style w:type="character" w:styleId="UnresolvedMention">
    <w:name w:val="Unresolved Mention"/>
    <w:basedOn w:val="DefaultParagraphFont"/>
    <w:uiPriority w:val="99"/>
    <w:semiHidden/>
    <w:unhideWhenUsed/>
    <w:qFormat/>
    <w:rsid w:val="00EC40EC"/>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0000CD"/>
    <w:pPr>
      <w:ind w:left="720"/>
      <w:contextualSpacing/>
    </w:pPr>
  </w:style>
  <w:style w:type="paragraph" w:styleId="Header">
    <w:name w:val="header"/>
    <w:basedOn w:val="Normal"/>
    <w:link w:val="HeaderChar"/>
    <w:uiPriority w:val="99"/>
    <w:unhideWhenUsed/>
    <w:rsid w:val="000000CD"/>
    <w:pPr>
      <w:tabs>
        <w:tab w:val="center" w:pos="4513"/>
        <w:tab w:val="right" w:pos="9026"/>
      </w:tabs>
      <w:spacing w:after="0" w:line="240" w:lineRule="auto"/>
    </w:pPr>
  </w:style>
  <w:style w:type="paragraph" w:customStyle="1" w:styleId="paragraph">
    <w:name w:val="paragraph"/>
    <w:basedOn w:val="Normal"/>
    <w:qFormat/>
    <w:rsid w:val="000000CD"/>
    <w:pPr>
      <w:spacing w:beforeAutospacing="1"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31DE1"/>
    <w:rPr>
      <w:rFonts w:ascii="Arial" w:eastAsia="Calibri" w:hAnsi="Arial" w:cstheme="majorBidi"/>
      <w:sz w:val="24"/>
      <w:szCs w:val="24"/>
    </w:rPr>
  </w:style>
  <w:style w:type="paragraph" w:styleId="CommentText">
    <w:name w:val="annotation text"/>
    <w:basedOn w:val="Normal"/>
    <w:link w:val="CommentTextChar"/>
    <w:uiPriority w:val="99"/>
    <w:semiHidden/>
    <w:unhideWhenUsed/>
    <w:qFormat/>
    <w:rsid w:val="005846B5"/>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5846B5"/>
    <w:rPr>
      <w:b/>
      <w:bCs/>
    </w:rPr>
  </w:style>
  <w:style w:type="paragraph" w:styleId="BalloonText">
    <w:name w:val="Balloon Text"/>
    <w:basedOn w:val="Normal"/>
    <w:link w:val="BalloonTextChar"/>
    <w:uiPriority w:val="99"/>
    <w:semiHidden/>
    <w:unhideWhenUsed/>
    <w:qFormat/>
    <w:rsid w:val="005846B5"/>
    <w:pPr>
      <w:spacing w:after="0" w:line="240" w:lineRule="auto"/>
    </w:pPr>
    <w:rPr>
      <w:rFonts w:ascii="Segoe UI" w:hAnsi="Segoe UI" w:cs="Segoe UI"/>
      <w:sz w:val="18"/>
      <w:szCs w:val="18"/>
    </w:rPr>
  </w:style>
  <w:style w:type="paragraph" w:styleId="Footer">
    <w:name w:val="footer"/>
    <w:basedOn w:val="Normal"/>
  </w:style>
  <w:style w:type="table" w:styleId="TableGrid">
    <w:name w:val="Table Grid"/>
    <w:basedOn w:val="TableNormal"/>
    <w:uiPriority w:val="39"/>
    <w:rsid w:val="00000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873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BD76D-97ED-40DC-BBBF-BB4F5C68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thomaswareing92@outlook.com</dc:creator>
  <dc:description/>
  <cp:lastModifiedBy>thomaswareing92@outlook.com</cp:lastModifiedBy>
  <cp:revision>19</cp:revision>
  <dcterms:created xsi:type="dcterms:W3CDTF">2021-03-18T19:53:00Z</dcterms:created>
  <dcterms:modified xsi:type="dcterms:W3CDTF">2021-03-31T10:39:00Z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