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E5C8" w14:textId="7EAEAA8C" w:rsidR="00CA1256" w:rsidRPr="00FD00FD" w:rsidRDefault="00CA1256" w:rsidP="005B56C4">
      <w:pPr>
        <w:jc w:val="both"/>
        <w:rPr>
          <w:sz w:val="20"/>
          <w:szCs w:val="20"/>
        </w:rPr>
      </w:pPr>
      <w:r w:rsidRPr="00FD00FD">
        <w:rPr>
          <w:sz w:val="20"/>
          <w:szCs w:val="20"/>
        </w:rPr>
        <w:t>It is vital that the new Community Pharmacist Consultation Service (CPCS) is provided throughout the pharmacies opening hours. This document provides a guide for locum pharmacists unfamiliar with the pharmacy’s ways of working. Keep this sheet with any other local service documentation</w:t>
      </w:r>
      <w:r w:rsidR="00E5203A">
        <w:rPr>
          <w:sz w:val="20"/>
          <w:szCs w:val="20"/>
        </w:rPr>
        <w:t>.</w:t>
      </w:r>
    </w:p>
    <w:p w14:paraId="1D0EFD3B" w14:textId="3272E117" w:rsidR="00CA1256" w:rsidRPr="001F4208" w:rsidRDefault="001F4208" w:rsidP="005B56C4">
      <w:pPr>
        <w:widowControl w:val="0"/>
        <w:spacing w:after="0" w:line="285" w:lineRule="auto"/>
        <w:jc w:val="both"/>
        <w:rPr>
          <w:rFonts w:ascii="Calibri" w:eastAsia="Times New Roman" w:hAnsi="Calibri" w:cs="Calibri"/>
          <w:b/>
          <w:bCs/>
          <w:color w:val="669900"/>
          <w:kern w:val="28"/>
          <w:sz w:val="28"/>
          <w:szCs w:val="28"/>
          <w:lang w:eastAsia="en-GB"/>
          <w14:cntxtAlts/>
        </w:rPr>
      </w:pPr>
      <w:r w:rsidRPr="001F4208">
        <w:rPr>
          <w:rFonts w:cstheme="minorHAnsi"/>
          <w:b/>
          <w:bCs/>
          <w:color w:val="4E8F00"/>
          <w:sz w:val="28"/>
          <w:szCs w:val="28"/>
        </w:rPr>
        <w:t>Accessing CPCS</w:t>
      </w:r>
    </w:p>
    <w:p w14:paraId="7F8D7C66" w14:textId="3553EC08" w:rsidR="00FD00FD" w:rsidRPr="00FD00FD" w:rsidRDefault="00CA1256" w:rsidP="005B56C4">
      <w:pPr>
        <w:jc w:val="both"/>
        <w:rPr>
          <w:sz w:val="20"/>
          <w:szCs w:val="20"/>
        </w:rPr>
      </w:pPr>
      <w:r w:rsidRPr="00FD00FD">
        <w:rPr>
          <w:sz w:val="20"/>
          <w:szCs w:val="20"/>
        </w:rPr>
        <w:t>As with local services</w:t>
      </w:r>
      <w:r w:rsidR="00A43093">
        <w:rPr>
          <w:sz w:val="20"/>
          <w:szCs w:val="20"/>
        </w:rPr>
        <w:t>,</w:t>
      </w:r>
      <w:r w:rsidRPr="00FD00FD">
        <w:rPr>
          <w:sz w:val="20"/>
          <w:szCs w:val="20"/>
        </w:rPr>
        <w:t xml:space="preserve"> all CPCS referrals are received through PharmOutcomes. They are recorded (ideally during the consultation) on PharmOutcomes to ensure all data is captured.</w:t>
      </w:r>
      <w:r w:rsidR="002B3919">
        <w:rPr>
          <w:sz w:val="20"/>
          <w:szCs w:val="20"/>
        </w:rPr>
        <w:t xml:space="preserve"> </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5863"/>
      </w:tblGrid>
      <w:tr w:rsidR="001F4208" w14:paraId="1A10D6F6" w14:textId="77777777" w:rsidTr="00702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tcBorders>
              <w:top w:val="none" w:sz="0" w:space="0" w:color="auto"/>
              <w:left w:val="none" w:sz="0" w:space="0" w:color="auto"/>
              <w:bottom w:val="none" w:sz="0" w:space="0" w:color="auto"/>
              <w:right w:val="none" w:sz="0" w:space="0" w:color="auto"/>
            </w:tcBorders>
            <w:shd w:val="clear" w:color="auto" w:fill="2A8637"/>
          </w:tcPr>
          <w:p w14:paraId="24F961D4" w14:textId="77777777" w:rsidR="001F4208" w:rsidRDefault="001F4208" w:rsidP="001F4208"/>
        </w:tc>
        <w:tc>
          <w:tcPr>
            <w:tcW w:w="5863" w:type="dxa"/>
            <w:tcBorders>
              <w:top w:val="none" w:sz="0" w:space="0" w:color="auto"/>
              <w:left w:val="none" w:sz="0" w:space="0" w:color="auto"/>
              <w:bottom w:val="none" w:sz="0" w:space="0" w:color="auto"/>
              <w:right w:val="none" w:sz="0" w:space="0" w:color="auto"/>
            </w:tcBorders>
            <w:shd w:val="clear" w:color="auto" w:fill="2A8637"/>
          </w:tcPr>
          <w:p w14:paraId="0E2AC694" w14:textId="77777777" w:rsidR="001F4208" w:rsidRDefault="001F4208" w:rsidP="001F4208">
            <w:pPr>
              <w:cnfStyle w:val="100000000000" w:firstRow="1" w:lastRow="0" w:firstColumn="0" w:lastColumn="0" w:oddVBand="0" w:evenVBand="0" w:oddHBand="0" w:evenHBand="0" w:firstRowFirstColumn="0" w:firstRowLastColumn="0" w:lastRowFirstColumn="0" w:lastRowLastColumn="0"/>
            </w:pPr>
          </w:p>
        </w:tc>
      </w:tr>
      <w:tr w:rsidR="001F4208" w14:paraId="2CE61953" w14:textId="77777777" w:rsidTr="00702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131361E1" w14:textId="6E92C806" w:rsidR="001F4208" w:rsidRPr="00F66EC6" w:rsidRDefault="001F4208" w:rsidP="001F4208">
            <w:pPr>
              <w:rPr>
                <w:color w:val="669900"/>
                <w:sz w:val="20"/>
                <w:szCs w:val="20"/>
              </w:rPr>
            </w:pPr>
            <w:r w:rsidRPr="00F66EC6">
              <w:rPr>
                <w:rFonts w:cstheme="minorHAnsi"/>
                <w:color w:val="4E8F00"/>
                <w:sz w:val="20"/>
                <w:szCs w:val="20"/>
              </w:rPr>
              <w:t xml:space="preserve">The SOP for CPCS </w:t>
            </w:r>
            <w:r w:rsidR="00CA6167">
              <w:rPr>
                <w:rFonts w:cstheme="minorHAnsi"/>
                <w:color w:val="4E8F00"/>
                <w:sz w:val="20"/>
                <w:szCs w:val="20"/>
              </w:rPr>
              <w:t>is located</w:t>
            </w:r>
            <w:r w:rsidRPr="00F66EC6">
              <w:rPr>
                <w:rFonts w:cstheme="minorHAnsi"/>
                <w:color w:val="4E8F00"/>
                <w:sz w:val="20"/>
                <w:szCs w:val="20"/>
              </w:rPr>
              <w:t>:</w:t>
            </w:r>
          </w:p>
        </w:tc>
        <w:tc>
          <w:tcPr>
            <w:tcW w:w="5863" w:type="dxa"/>
            <w:shd w:val="clear" w:color="auto" w:fill="auto"/>
          </w:tcPr>
          <w:p w14:paraId="6A2AE83A" w14:textId="77777777" w:rsidR="001F4208" w:rsidRDefault="001F4208" w:rsidP="00CA6167">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p>
          <w:p w14:paraId="0637FCB3" w14:textId="25EF58B5" w:rsidR="00CA6167" w:rsidRPr="00187A9C" w:rsidRDefault="00CA6167" w:rsidP="00CA6167">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p>
        </w:tc>
      </w:tr>
      <w:tr w:rsidR="00EC0C8B" w14:paraId="1B7CD804" w14:textId="77777777" w:rsidTr="007027C6">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528B1BF5" w14:textId="54C23098" w:rsidR="00EC0C8B" w:rsidRPr="00EC0C8B" w:rsidRDefault="00EC0C8B" w:rsidP="001F4208">
            <w:pPr>
              <w:rPr>
                <w:rFonts w:cstheme="minorHAnsi"/>
                <w:color w:val="4E8F00"/>
                <w:sz w:val="20"/>
                <w:szCs w:val="20"/>
              </w:rPr>
            </w:pPr>
            <w:r w:rsidRPr="00EC0C8B">
              <w:rPr>
                <w:rFonts w:cstheme="minorHAnsi"/>
                <w:color w:val="4E8F00"/>
                <w:sz w:val="20"/>
                <w:szCs w:val="20"/>
              </w:rPr>
              <w:t>Service specification is located</w:t>
            </w:r>
            <w:r>
              <w:rPr>
                <w:rFonts w:cstheme="minorHAnsi"/>
                <w:color w:val="4E8F00"/>
                <w:sz w:val="20"/>
                <w:szCs w:val="20"/>
              </w:rPr>
              <w:t>:</w:t>
            </w:r>
          </w:p>
          <w:p w14:paraId="094EA22F" w14:textId="1F77D09F" w:rsidR="00EC0C8B" w:rsidRPr="00F66EC6" w:rsidRDefault="00EC0C8B" w:rsidP="001F4208">
            <w:pPr>
              <w:rPr>
                <w:rFonts w:cstheme="minorHAnsi"/>
                <w:color w:val="4E8F00"/>
                <w:sz w:val="20"/>
                <w:szCs w:val="20"/>
              </w:rPr>
            </w:pPr>
          </w:p>
        </w:tc>
        <w:tc>
          <w:tcPr>
            <w:tcW w:w="5863" w:type="dxa"/>
            <w:shd w:val="clear" w:color="auto" w:fill="auto"/>
          </w:tcPr>
          <w:p w14:paraId="28B0A37E" w14:textId="77777777" w:rsidR="00EC0C8B" w:rsidRDefault="00EC0C8B" w:rsidP="00CA6167">
            <w:pPr>
              <w:cnfStyle w:val="000000000000" w:firstRow="0" w:lastRow="0" w:firstColumn="0" w:lastColumn="0" w:oddVBand="0" w:evenVBand="0" w:oddHBand="0" w:evenHBand="0" w:firstRowFirstColumn="0" w:firstRowLastColumn="0" w:lastRowFirstColumn="0" w:lastRowLastColumn="0"/>
              <w:rPr>
                <w:i/>
                <w:iCs/>
                <w:color w:val="A6A6A6" w:themeColor="background1" w:themeShade="A6"/>
              </w:rPr>
            </w:pPr>
          </w:p>
        </w:tc>
      </w:tr>
      <w:tr w:rsidR="001F4208" w14:paraId="74FC7ADC" w14:textId="77777777" w:rsidTr="00702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126644C5" w14:textId="7791F43E" w:rsidR="001F4208" w:rsidRPr="00F66EC6" w:rsidRDefault="001F4208" w:rsidP="001F4208">
            <w:pPr>
              <w:rPr>
                <w:color w:val="669900"/>
                <w:sz w:val="20"/>
                <w:szCs w:val="20"/>
              </w:rPr>
            </w:pPr>
            <w:r w:rsidRPr="00F66EC6">
              <w:rPr>
                <w:rFonts w:cstheme="minorHAnsi"/>
                <w:color w:val="4E8F00"/>
                <w:sz w:val="20"/>
                <w:szCs w:val="20"/>
              </w:rPr>
              <w:t>PharmOutcomes</w:t>
            </w:r>
            <w:r w:rsidR="00CA6167">
              <w:rPr>
                <w:rFonts w:cstheme="minorHAnsi"/>
                <w:color w:val="4E8F00"/>
                <w:sz w:val="20"/>
                <w:szCs w:val="20"/>
              </w:rPr>
              <w:t xml:space="preserve"> Log-on </w:t>
            </w:r>
            <w:r w:rsidR="00E5203A">
              <w:rPr>
                <w:rFonts w:cstheme="minorHAnsi"/>
                <w:color w:val="4E8F00"/>
                <w:sz w:val="20"/>
                <w:szCs w:val="20"/>
              </w:rPr>
              <w:t>details:</w:t>
            </w:r>
          </w:p>
        </w:tc>
        <w:tc>
          <w:tcPr>
            <w:tcW w:w="5863" w:type="dxa"/>
            <w:shd w:val="clear" w:color="auto" w:fill="auto"/>
          </w:tcPr>
          <w:p w14:paraId="3D9B9DB0" w14:textId="48597F97" w:rsidR="001F4208" w:rsidRPr="002B3919" w:rsidRDefault="002B3919" w:rsidP="001F4208">
            <w:pPr>
              <w:cnfStyle w:val="000000100000" w:firstRow="0" w:lastRow="0" w:firstColumn="0" w:lastColumn="0" w:oddVBand="0" w:evenVBand="0" w:oddHBand="1" w:evenHBand="0" w:firstRowFirstColumn="0" w:firstRowLastColumn="0" w:lastRowFirstColumn="0" w:lastRowLastColumn="0"/>
              <w:rPr>
                <w:i/>
                <w:iCs/>
                <w:color w:val="595959" w:themeColor="text1" w:themeTint="A6"/>
              </w:rPr>
            </w:pPr>
            <w:r w:rsidRPr="002B3919">
              <w:rPr>
                <w:i/>
                <w:iCs/>
                <w:color w:val="595959" w:themeColor="text1" w:themeTint="A6"/>
              </w:rPr>
              <w:t>Username:</w:t>
            </w:r>
          </w:p>
          <w:p w14:paraId="5D67DFAB" w14:textId="61D8E82C" w:rsidR="00CA6167" w:rsidRPr="00187A9C" w:rsidRDefault="002B3919" w:rsidP="002B3919">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r w:rsidRPr="002B3919">
              <w:rPr>
                <w:i/>
                <w:iCs/>
                <w:color w:val="595959" w:themeColor="text1" w:themeTint="A6"/>
              </w:rPr>
              <w:t>Password:</w:t>
            </w:r>
          </w:p>
        </w:tc>
      </w:tr>
      <w:tr w:rsidR="007027C6" w14:paraId="71B18B55" w14:textId="77777777" w:rsidTr="007027C6">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101C1958" w14:textId="598E6FA2" w:rsidR="007027C6" w:rsidRPr="007027C6" w:rsidRDefault="007027C6" w:rsidP="007027C6">
            <w:pPr>
              <w:rPr>
                <w:rFonts w:cstheme="minorHAnsi"/>
                <w:color w:val="4E8F00"/>
                <w:sz w:val="20"/>
                <w:szCs w:val="20"/>
              </w:rPr>
            </w:pPr>
            <w:r>
              <w:rPr>
                <w:rFonts w:cstheme="minorHAnsi"/>
                <w:color w:val="4E8F00"/>
                <w:sz w:val="20"/>
                <w:szCs w:val="20"/>
              </w:rPr>
              <w:t>Material to explain CPCS data recording</w:t>
            </w:r>
            <w:r w:rsidRPr="007027C6">
              <w:rPr>
                <w:rFonts w:cstheme="minorHAnsi"/>
                <w:color w:val="4E8F00"/>
                <w:sz w:val="20"/>
                <w:szCs w:val="20"/>
              </w:rPr>
              <w:t xml:space="preserve"> </w:t>
            </w:r>
            <w:r>
              <w:rPr>
                <w:rFonts w:cstheme="minorHAnsi"/>
                <w:color w:val="4E8F00"/>
                <w:sz w:val="20"/>
                <w:szCs w:val="20"/>
              </w:rPr>
              <w:t>can be found at:</w:t>
            </w:r>
          </w:p>
          <w:p w14:paraId="72216BC7" w14:textId="77777777" w:rsidR="007027C6" w:rsidRPr="00F66EC6" w:rsidRDefault="007027C6" w:rsidP="007027C6">
            <w:pPr>
              <w:rPr>
                <w:rFonts w:cstheme="minorHAnsi"/>
                <w:color w:val="4E8F00"/>
                <w:sz w:val="20"/>
                <w:szCs w:val="20"/>
              </w:rPr>
            </w:pPr>
          </w:p>
        </w:tc>
        <w:tc>
          <w:tcPr>
            <w:tcW w:w="5863" w:type="dxa"/>
            <w:shd w:val="clear" w:color="auto" w:fill="auto"/>
          </w:tcPr>
          <w:p w14:paraId="0730AEE0" w14:textId="5CAF72E5" w:rsidR="007027C6" w:rsidRPr="002B3919" w:rsidRDefault="007027C6" w:rsidP="007027C6">
            <w:pPr>
              <w:cnfStyle w:val="000000000000" w:firstRow="0" w:lastRow="0" w:firstColumn="0" w:lastColumn="0" w:oddVBand="0" w:evenVBand="0" w:oddHBand="0" w:evenHBand="0" w:firstRowFirstColumn="0" w:firstRowLastColumn="0" w:lastRowFirstColumn="0" w:lastRowLastColumn="0"/>
              <w:rPr>
                <w:i/>
                <w:iCs/>
                <w:color w:val="595959" w:themeColor="text1" w:themeTint="A6"/>
              </w:rPr>
            </w:pPr>
            <w:r>
              <w:rPr>
                <w:i/>
                <w:iCs/>
                <w:color w:val="595959" w:themeColor="text1" w:themeTint="A6"/>
              </w:rPr>
              <w:t xml:space="preserve">Written and </w:t>
            </w:r>
            <w:r w:rsidRPr="007027C6">
              <w:rPr>
                <w:i/>
                <w:iCs/>
                <w:color w:val="595959" w:themeColor="text1" w:themeTint="A6"/>
              </w:rPr>
              <w:t xml:space="preserve">Video guides are available on PharmOutcomes at: </w:t>
            </w:r>
            <w:hyperlink r:id="rId10" w:history="1">
              <w:r w:rsidRPr="007027C6">
                <w:rPr>
                  <w:rStyle w:val="Hyperlink"/>
                  <w:color w:val="595959" w:themeColor="text1" w:themeTint="A6"/>
                </w:rPr>
                <w:t>https://pharmoutcomes.org/pharmoutcomes/help/home?cpcs</w:t>
              </w:r>
            </w:hyperlink>
          </w:p>
        </w:tc>
      </w:tr>
      <w:tr w:rsidR="00B5486F" w14:paraId="5BA71594" w14:textId="77777777" w:rsidTr="00702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A658178" w14:textId="4EDD4732" w:rsidR="00B5486F" w:rsidRDefault="00B5486F" w:rsidP="00B5486F">
            <w:pPr>
              <w:rPr>
                <w:rFonts w:cstheme="minorHAnsi"/>
                <w:color w:val="4E8F00"/>
                <w:sz w:val="20"/>
                <w:szCs w:val="20"/>
              </w:rPr>
            </w:pPr>
            <w:r>
              <w:rPr>
                <w:rFonts w:cstheme="minorHAnsi"/>
                <w:color w:val="4E8F00"/>
                <w:sz w:val="20"/>
                <w:szCs w:val="20"/>
              </w:rPr>
              <w:t>SCR access:  How to access SCR in this branch</w:t>
            </w:r>
          </w:p>
        </w:tc>
        <w:tc>
          <w:tcPr>
            <w:tcW w:w="5863" w:type="dxa"/>
            <w:shd w:val="clear" w:color="auto" w:fill="auto"/>
          </w:tcPr>
          <w:p w14:paraId="732488F5" w14:textId="381055E4" w:rsidR="00B5486F" w:rsidRDefault="00B5486F" w:rsidP="00B5486F">
            <w:pPr>
              <w:cnfStyle w:val="000000100000" w:firstRow="0" w:lastRow="0" w:firstColumn="0" w:lastColumn="0" w:oddVBand="0" w:evenVBand="0" w:oddHBand="1" w:evenHBand="0" w:firstRowFirstColumn="0" w:firstRowLastColumn="0" w:lastRowFirstColumn="0" w:lastRowLastColumn="0"/>
              <w:rPr>
                <w:i/>
                <w:iCs/>
                <w:color w:val="595959" w:themeColor="text1" w:themeTint="A6"/>
              </w:rPr>
            </w:pPr>
            <w:r w:rsidRPr="002B3919">
              <w:rPr>
                <w:i/>
                <w:iCs/>
                <w:color w:val="595959" w:themeColor="text1" w:themeTint="A6"/>
              </w:rPr>
              <w:t>SCR can be accessed directly from the PharmOutcomes template</w:t>
            </w:r>
            <w:r>
              <w:rPr>
                <w:i/>
                <w:iCs/>
                <w:color w:val="595959" w:themeColor="text1" w:themeTint="A6"/>
              </w:rPr>
              <w:t>.</w:t>
            </w:r>
          </w:p>
        </w:tc>
      </w:tr>
      <w:tr w:rsidR="00B5486F" w14:paraId="48CDC6AF" w14:textId="77777777" w:rsidTr="007027C6">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57292FD" w14:textId="00BEA524" w:rsidR="00B5486F" w:rsidRPr="00F66EC6" w:rsidRDefault="00B5486F" w:rsidP="00B5486F">
            <w:pPr>
              <w:rPr>
                <w:color w:val="669900"/>
                <w:sz w:val="20"/>
                <w:szCs w:val="20"/>
              </w:rPr>
            </w:pPr>
            <w:r>
              <w:rPr>
                <w:rFonts w:cstheme="minorHAnsi"/>
                <w:color w:val="4E8F00"/>
                <w:sz w:val="20"/>
                <w:szCs w:val="20"/>
              </w:rPr>
              <w:t xml:space="preserve">Frequency </w:t>
            </w:r>
            <w:proofErr w:type="gramStart"/>
            <w:r>
              <w:rPr>
                <w:rFonts w:cstheme="minorHAnsi"/>
                <w:color w:val="4E8F00"/>
                <w:sz w:val="20"/>
                <w:szCs w:val="20"/>
              </w:rPr>
              <w:t xml:space="preserve">that  </w:t>
            </w:r>
            <w:r w:rsidRPr="00F66EC6">
              <w:rPr>
                <w:rFonts w:cstheme="minorHAnsi"/>
                <w:color w:val="4E8F00"/>
                <w:sz w:val="20"/>
                <w:szCs w:val="20"/>
              </w:rPr>
              <w:t>PharmOutcomes</w:t>
            </w:r>
            <w:proofErr w:type="gramEnd"/>
            <w:r>
              <w:rPr>
                <w:rFonts w:cstheme="minorHAnsi"/>
                <w:color w:val="4E8F00"/>
                <w:sz w:val="20"/>
                <w:szCs w:val="20"/>
              </w:rPr>
              <w:t xml:space="preserve"> </w:t>
            </w:r>
            <w:r w:rsidRPr="00F66EC6">
              <w:rPr>
                <w:rFonts w:cstheme="minorHAnsi"/>
                <w:color w:val="4E8F00"/>
                <w:sz w:val="20"/>
                <w:szCs w:val="20"/>
              </w:rPr>
              <w:t>/</w:t>
            </w:r>
            <w:r>
              <w:rPr>
                <w:rFonts w:cstheme="minorHAnsi"/>
                <w:color w:val="4E8F00"/>
                <w:sz w:val="20"/>
                <w:szCs w:val="20"/>
              </w:rPr>
              <w:t xml:space="preserve"> </w:t>
            </w:r>
            <w:proofErr w:type="spellStart"/>
            <w:r w:rsidRPr="00F66EC6">
              <w:rPr>
                <w:rFonts w:cstheme="minorHAnsi"/>
                <w:color w:val="4E8F00"/>
                <w:sz w:val="20"/>
                <w:szCs w:val="20"/>
              </w:rPr>
              <w:t>NHSmail</w:t>
            </w:r>
            <w:proofErr w:type="spellEnd"/>
            <w:r w:rsidRPr="00F66EC6">
              <w:rPr>
                <w:rFonts w:cstheme="minorHAnsi"/>
                <w:color w:val="4E8F00"/>
                <w:sz w:val="20"/>
                <w:szCs w:val="20"/>
              </w:rPr>
              <w:t xml:space="preserve"> is checked</w:t>
            </w:r>
            <w:r>
              <w:rPr>
                <w:rFonts w:cstheme="minorHAnsi"/>
                <w:color w:val="4E8F00"/>
                <w:sz w:val="20"/>
                <w:szCs w:val="20"/>
              </w:rPr>
              <w:t xml:space="preserve"> </w:t>
            </w:r>
            <w:r w:rsidRPr="00F66EC6">
              <w:rPr>
                <w:rFonts w:cstheme="minorHAnsi"/>
                <w:color w:val="4E8F00"/>
                <w:sz w:val="20"/>
                <w:szCs w:val="20"/>
              </w:rPr>
              <w:t>and by who</w:t>
            </w:r>
            <w:r>
              <w:rPr>
                <w:rFonts w:cstheme="minorHAnsi"/>
                <w:color w:val="4E8F00"/>
                <w:sz w:val="20"/>
                <w:szCs w:val="20"/>
              </w:rPr>
              <w:t>m</w:t>
            </w:r>
            <w:r w:rsidRPr="00F66EC6">
              <w:rPr>
                <w:rFonts w:cstheme="minorHAnsi"/>
                <w:color w:val="4E8F00"/>
                <w:sz w:val="20"/>
                <w:szCs w:val="20"/>
              </w:rPr>
              <w:t>?</w:t>
            </w:r>
          </w:p>
        </w:tc>
        <w:tc>
          <w:tcPr>
            <w:tcW w:w="5863" w:type="dxa"/>
            <w:shd w:val="clear" w:color="auto" w:fill="auto"/>
          </w:tcPr>
          <w:p w14:paraId="177D9BC6" w14:textId="3B6B700D" w:rsidR="00B5486F" w:rsidRPr="00187A9C" w:rsidRDefault="00B5486F" w:rsidP="00B5486F">
            <w:pPr>
              <w:cnfStyle w:val="000000000000" w:firstRow="0" w:lastRow="0" w:firstColumn="0" w:lastColumn="0" w:oddVBand="0" w:evenVBand="0" w:oddHBand="0" w:evenHBand="0" w:firstRowFirstColumn="0" w:firstRowLastColumn="0" w:lastRowFirstColumn="0" w:lastRowLastColumn="0"/>
              <w:rPr>
                <w:i/>
                <w:iCs/>
                <w:color w:val="A6A6A6" w:themeColor="background1" w:themeShade="A6"/>
              </w:rPr>
            </w:pPr>
          </w:p>
        </w:tc>
      </w:tr>
      <w:tr w:rsidR="00B5486F" w14:paraId="3EC06554" w14:textId="77777777" w:rsidTr="00702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194BF38E" w14:textId="207492ED" w:rsidR="00B5486F" w:rsidRPr="00F66EC6" w:rsidRDefault="00B5486F" w:rsidP="00B5486F">
            <w:pPr>
              <w:rPr>
                <w:color w:val="669900"/>
                <w:sz w:val="20"/>
                <w:szCs w:val="20"/>
              </w:rPr>
            </w:pPr>
            <w:r>
              <w:rPr>
                <w:rFonts w:cstheme="minorHAnsi"/>
                <w:color w:val="4E8F00"/>
                <w:sz w:val="20"/>
                <w:szCs w:val="20"/>
              </w:rPr>
              <w:t>POM register is located: (required to record Urgent supplies</w:t>
            </w:r>
            <w:r w:rsidRPr="00F66EC6">
              <w:rPr>
                <w:rFonts w:cstheme="minorHAnsi"/>
                <w:color w:val="4E8F00"/>
                <w:sz w:val="20"/>
                <w:szCs w:val="20"/>
              </w:rPr>
              <w:t xml:space="preserve">) </w:t>
            </w:r>
          </w:p>
        </w:tc>
        <w:tc>
          <w:tcPr>
            <w:tcW w:w="5863" w:type="dxa"/>
            <w:shd w:val="clear" w:color="auto" w:fill="auto"/>
          </w:tcPr>
          <w:p w14:paraId="1F7AD745" w14:textId="77777777" w:rsidR="00B5486F" w:rsidRDefault="00B5486F" w:rsidP="00B5486F">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p>
          <w:p w14:paraId="11CB491C" w14:textId="46A12F22" w:rsidR="00B5486F" w:rsidRPr="00187A9C" w:rsidRDefault="00B5486F" w:rsidP="00B5486F">
            <w:pPr>
              <w:cnfStyle w:val="000000100000" w:firstRow="0" w:lastRow="0" w:firstColumn="0" w:lastColumn="0" w:oddVBand="0" w:evenVBand="0" w:oddHBand="1" w:evenHBand="0" w:firstRowFirstColumn="0" w:firstRowLastColumn="0" w:lastRowFirstColumn="0" w:lastRowLastColumn="0"/>
              <w:rPr>
                <w:i/>
                <w:iCs/>
                <w:color w:val="A6A6A6" w:themeColor="background1" w:themeShade="A6"/>
              </w:rPr>
            </w:pPr>
          </w:p>
        </w:tc>
      </w:tr>
      <w:tr w:rsidR="00B5486F" w14:paraId="3BC8B0FE" w14:textId="77777777" w:rsidTr="007027C6">
        <w:trPr>
          <w:trHeight w:val="1880"/>
        </w:trPr>
        <w:tc>
          <w:tcPr>
            <w:cnfStyle w:val="001000000000" w:firstRow="0" w:lastRow="0" w:firstColumn="1" w:lastColumn="0" w:oddVBand="0" w:evenVBand="0" w:oddHBand="0" w:evenHBand="0" w:firstRowFirstColumn="0" w:firstRowLastColumn="0" w:lastRowFirstColumn="0" w:lastRowLastColumn="0"/>
            <w:tcW w:w="3153" w:type="dxa"/>
            <w:shd w:val="clear" w:color="auto" w:fill="auto"/>
          </w:tcPr>
          <w:p w14:paraId="0C585281" w14:textId="2E6E6699" w:rsidR="00B5486F" w:rsidRDefault="00B5486F" w:rsidP="00B5486F">
            <w:pPr>
              <w:rPr>
                <w:rFonts w:cstheme="minorHAnsi"/>
                <w:b w:val="0"/>
                <w:bCs w:val="0"/>
                <w:color w:val="4E8F00"/>
                <w:sz w:val="20"/>
                <w:szCs w:val="20"/>
              </w:rPr>
            </w:pPr>
            <w:r>
              <w:rPr>
                <w:rFonts w:cstheme="minorHAnsi"/>
                <w:color w:val="4E8F00"/>
                <w:sz w:val="20"/>
                <w:szCs w:val="20"/>
              </w:rPr>
              <w:t>Location of Annex C: Onward referral information</w:t>
            </w:r>
          </w:p>
          <w:p w14:paraId="705A5B79" w14:textId="55741716" w:rsidR="00B5486F" w:rsidRDefault="00B5486F" w:rsidP="00B5486F">
            <w:pPr>
              <w:rPr>
                <w:rFonts w:cstheme="minorHAnsi"/>
                <w:b w:val="0"/>
                <w:bCs w:val="0"/>
                <w:color w:val="4E8F00"/>
                <w:sz w:val="20"/>
                <w:szCs w:val="20"/>
              </w:rPr>
            </w:pPr>
          </w:p>
          <w:p w14:paraId="61A67C2F" w14:textId="16A9F01D" w:rsidR="00B5486F" w:rsidRDefault="00B5486F" w:rsidP="00B5486F">
            <w:pPr>
              <w:rPr>
                <w:rFonts w:cstheme="minorHAnsi"/>
                <w:color w:val="4E8F00"/>
                <w:sz w:val="20"/>
                <w:szCs w:val="20"/>
              </w:rPr>
            </w:pPr>
          </w:p>
          <w:p w14:paraId="5AE260FA" w14:textId="39AF3874" w:rsidR="00B5486F" w:rsidRDefault="00B5486F" w:rsidP="00B5486F">
            <w:pPr>
              <w:rPr>
                <w:rFonts w:cstheme="minorHAnsi"/>
                <w:color w:val="4E8F00"/>
                <w:sz w:val="20"/>
                <w:szCs w:val="20"/>
              </w:rPr>
            </w:pPr>
          </w:p>
          <w:p w14:paraId="75FC1D28" w14:textId="7DFB1902" w:rsidR="00B5486F" w:rsidRPr="00F66EC6" w:rsidRDefault="00B5486F" w:rsidP="00B5486F">
            <w:pPr>
              <w:rPr>
                <w:color w:val="669900"/>
                <w:sz w:val="20"/>
                <w:szCs w:val="20"/>
              </w:rPr>
            </w:pPr>
            <w:r>
              <w:rPr>
                <w:rFonts w:cstheme="minorHAnsi"/>
                <w:color w:val="4E8F00"/>
                <w:sz w:val="20"/>
                <w:szCs w:val="20"/>
              </w:rPr>
              <w:t>Signposting: Healthcare providers and their non-public contact details can be found through Service Finder. This pharmacy is / is not registered</w:t>
            </w:r>
          </w:p>
        </w:tc>
        <w:tc>
          <w:tcPr>
            <w:tcW w:w="5863" w:type="dxa"/>
            <w:shd w:val="clear" w:color="auto" w:fill="auto"/>
          </w:tcPr>
          <w:p w14:paraId="434234C6" w14:textId="2A17BA86" w:rsidR="00B5486F" w:rsidRDefault="00B5486F" w:rsidP="00B5486F">
            <w:pPr>
              <w:cnfStyle w:val="000000000000" w:firstRow="0" w:lastRow="0" w:firstColumn="0" w:lastColumn="0" w:oddVBand="0" w:evenVBand="0" w:oddHBand="0" w:evenHBand="0" w:firstRowFirstColumn="0" w:firstRowLastColumn="0" w:lastRowFirstColumn="0" w:lastRowLastColumn="0"/>
              <w:rPr>
                <w:i/>
                <w:iCs/>
                <w:color w:val="595959" w:themeColor="text1" w:themeTint="A6"/>
              </w:rPr>
            </w:pPr>
            <w:r w:rsidRPr="00020317">
              <w:rPr>
                <w:i/>
                <w:iCs/>
                <w:color w:val="595959" w:themeColor="text1" w:themeTint="A6"/>
              </w:rPr>
              <w:t xml:space="preserve">Annex C onward referral information is held in a separate PharmOutcomes template </w:t>
            </w:r>
            <w:proofErr w:type="gramStart"/>
            <w:r w:rsidRPr="00020317">
              <w:rPr>
                <w:i/>
                <w:iCs/>
                <w:color w:val="595959" w:themeColor="text1" w:themeTint="A6"/>
              </w:rPr>
              <w:t>called ”</w:t>
            </w:r>
            <w:r w:rsidRPr="002B3919">
              <w:rPr>
                <w:b/>
                <w:bCs/>
                <w:i/>
                <w:iCs/>
                <w:color w:val="595959" w:themeColor="text1" w:themeTint="A6"/>
              </w:rPr>
              <w:t>CPCS</w:t>
            </w:r>
            <w:proofErr w:type="gramEnd"/>
            <w:r w:rsidRPr="002B3919">
              <w:rPr>
                <w:b/>
                <w:bCs/>
                <w:i/>
                <w:iCs/>
                <w:color w:val="595959" w:themeColor="text1" w:themeTint="A6"/>
              </w:rPr>
              <w:t xml:space="preserve"> Annex C details</w:t>
            </w:r>
            <w:r w:rsidRPr="00020317">
              <w:rPr>
                <w:i/>
                <w:iCs/>
                <w:color w:val="595959" w:themeColor="text1" w:themeTint="A6"/>
              </w:rPr>
              <w:t>”.</w:t>
            </w:r>
          </w:p>
          <w:p w14:paraId="6B5B5D26" w14:textId="2B117D08" w:rsidR="00B5486F" w:rsidRDefault="00B5486F" w:rsidP="00B5486F">
            <w:pPr>
              <w:cnfStyle w:val="000000000000" w:firstRow="0" w:lastRow="0" w:firstColumn="0" w:lastColumn="0" w:oddVBand="0" w:evenVBand="0" w:oddHBand="0" w:evenHBand="0" w:firstRowFirstColumn="0" w:firstRowLastColumn="0" w:lastRowFirstColumn="0" w:lastRowLastColumn="0"/>
              <w:rPr>
                <w:i/>
                <w:iCs/>
                <w:color w:val="595959" w:themeColor="text1" w:themeTint="A6"/>
              </w:rPr>
            </w:pPr>
          </w:p>
          <w:p w14:paraId="58F66A0E" w14:textId="23E155EB" w:rsidR="00B5486F" w:rsidRPr="00020317" w:rsidRDefault="00B5486F" w:rsidP="00B5486F">
            <w:pPr>
              <w:cnfStyle w:val="000000000000" w:firstRow="0" w:lastRow="0" w:firstColumn="0" w:lastColumn="0" w:oddVBand="0" w:evenVBand="0" w:oddHBand="0" w:evenHBand="0" w:firstRowFirstColumn="0" w:firstRowLastColumn="0" w:lastRowFirstColumn="0" w:lastRowLastColumn="0"/>
              <w:rPr>
                <w:i/>
                <w:iCs/>
                <w:color w:val="595959" w:themeColor="text1" w:themeTint="A6"/>
              </w:rPr>
            </w:pPr>
            <w:r>
              <w:rPr>
                <w:i/>
                <w:iCs/>
                <w:color w:val="595959" w:themeColor="text1" w:themeTint="A6"/>
              </w:rPr>
              <w:t xml:space="preserve">Access the template and click the relevant locality to view the referral data. </w:t>
            </w:r>
          </w:p>
          <w:p w14:paraId="13B58E75" w14:textId="77777777" w:rsidR="00B5486F" w:rsidRDefault="00B5486F" w:rsidP="00B5486F">
            <w:pPr>
              <w:cnfStyle w:val="000000000000" w:firstRow="0" w:lastRow="0" w:firstColumn="0" w:lastColumn="0" w:oddVBand="0" w:evenVBand="0" w:oddHBand="0" w:evenHBand="0" w:firstRowFirstColumn="0" w:firstRowLastColumn="0" w:lastRowFirstColumn="0" w:lastRowLastColumn="0"/>
            </w:pPr>
          </w:p>
          <w:p w14:paraId="53FC736B" w14:textId="518C701B" w:rsidR="00B5486F" w:rsidRDefault="0089305B" w:rsidP="00B5486F">
            <w:pPr>
              <w:cnfStyle w:val="000000000000" w:firstRow="0" w:lastRow="0" w:firstColumn="0" w:lastColumn="0" w:oddVBand="0" w:evenVBand="0" w:oddHBand="0" w:evenHBand="0" w:firstRowFirstColumn="0" w:firstRowLastColumn="0" w:lastRowFirstColumn="0" w:lastRowLastColumn="0"/>
            </w:pPr>
            <w:hyperlink r:id="rId11" w:anchor="/login" w:history="1">
              <w:r w:rsidR="00B5486F">
                <w:rPr>
                  <w:rStyle w:val="Hyperlink"/>
                </w:rPr>
                <w:t>https://finder.directoryofservices.nhs.uk/#/login</w:t>
              </w:r>
            </w:hyperlink>
          </w:p>
          <w:p w14:paraId="16E4C091" w14:textId="77777777" w:rsidR="00B5486F" w:rsidRDefault="00B5486F" w:rsidP="00B5486F">
            <w:pPr>
              <w:cnfStyle w:val="000000000000" w:firstRow="0" w:lastRow="0" w:firstColumn="0" w:lastColumn="0" w:oddVBand="0" w:evenVBand="0" w:oddHBand="0" w:evenHBand="0" w:firstRowFirstColumn="0" w:firstRowLastColumn="0" w:lastRowFirstColumn="0" w:lastRowLastColumn="0"/>
            </w:pPr>
            <w:r>
              <w:t>Username:</w:t>
            </w:r>
          </w:p>
          <w:p w14:paraId="058AE039" w14:textId="014ABEC5" w:rsidR="00B5486F" w:rsidRPr="00187A9C" w:rsidRDefault="00B5486F" w:rsidP="00B5486F">
            <w:pPr>
              <w:cnfStyle w:val="000000000000" w:firstRow="0" w:lastRow="0" w:firstColumn="0" w:lastColumn="0" w:oddVBand="0" w:evenVBand="0" w:oddHBand="0" w:evenHBand="0" w:firstRowFirstColumn="0" w:firstRowLastColumn="0" w:lastRowFirstColumn="0" w:lastRowLastColumn="0"/>
            </w:pPr>
            <w:r>
              <w:t>Password:</w:t>
            </w:r>
          </w:p>
        </w:tc>
      </w:tr>
    </w:tbl>
    <w:p w14:paraId="6BA8EBF0" w14:textId="77777777" w:rsidR="003E0468" w:rsidRDefault="00B571B0" w:rsidP="005B56C4">
      <w:pPr>
        <w:jc w:val="both"/>
        <w:rPr>
          <w:sz w:val="20"/>
          <w:szCs w:val="20"/>
        </w:rPr>
      </w:pPr>
      <w:r w:rsidRPr="00FD00FD">
        <w:rPr>
          <w:sz w:val="20"/>
          <w:szCs w:val="20"/>
        </w:rPr>
        <w:t>When managing requests through CPCS for minor illnesses, you should deal with the patient exactly as you would if they were a ‘walk-in’ patient. Provide advice, sell a product</w:t>
      </w:r>
      <w:r w:rsidR="003E0468">
        <w:rPr>
          <w:sz w:val="20"/>
          <w:szCs w:val="20"/>
        </w:rPr>
        <w:t>, supply a product linked to the local Minor ailments service</w:t>
      </w:r>
      <w:r w:rsidRPr="00FD00FD">
        <w:rPr>
          <w:sz w:val="20"/>
          <w:szCs w:val="20"/>
        </w:rPr>
        <w:t xml:space="preserve"> or triage and refer as appropriate following consultation (in the consultation room). </w:t>
      </w:r>
    </w:p>
    <w:p w14:paraId="526795CD" w14:textId="056EFBD7" w:rsidR="00187A9C" w:rsidRPr="00FD00FD" w:rsidRDefault="00B571B0" w:rsidP="005B56C4">
      <w:pPr>
        <w:jc w:val="both"/>
        <w:rPr>
          <w:sz w:val="20"/>
          <w:szCs w:val="20"/>
        </w:rPr>
      </w:pPr>
      <w:r w:rsidRPr="00FD00FD">
        <w:rPr>
          <w:sz w:val="20"/>
          <w:szCs w:val="20"/>
        </w:rPr>
        <w:t>DO NOT refer the patient back to NHS111. You may receive referrals that you can’t treat, that is normal and expected. Your job is to provide the clinical advice on next steps, referring as needed</w:t>
      </w:r>
      <w:r w:rsidR="005D4D9B">
        <w:rPr>
          <w:sz w:val="20"/>
          <w:szCs w:val="20"/>
        </w:rPr>
        <w:t xml:space="preserve"> using the Annex C contact details.</w:t>
      </w:r>
      <w:r w:rsidR="005139FD" w:rsidRPr="00FD00FD">
        <w:rPr>
          <w:sz w:val="20"/>
          <w:szCs w:val="20"/>
        </w:rPr>
        <w:t xml:space="preserve"> Please remember the NHS 111 team are referring patients to you as non-clinicians and without sight of the patient to triage, direct and help them appropriately. Ensure patients go away satisfied with the outcome or referral.</w:t>
      </w:r>
    </w:p>
    <w:p w14:paraId="69160FD9" w14:textId="712BE004" w:rsidR="00721BA2" w:rsidRPr="00FD00FD" w:rsidRDefault="00187A9C" w:rsidP="005B56C4">
      <w:pPr>
        <w:jc w:val="both"/>
        <w:rPr>
          <w:sz w:val="20"/>
          <w:szCs w:val="20"/>
        </w:rPr>
      </w:pPr>
      <w:r w:rsidRPr="00FD00FD">
        <w:rPr>
          <w:sz w:val="20"/>
          <w:szCs w:val="20"/>
        </w:rPr>
        <w:t xml:space="preserve">Within </w:t>
      </w:r>
      <w:r w:rsidR="003E0468">
        <w:rPr>
          <w:sz w:val="20"/>
          <w:szCs w:val="20"/>
        </w:rPr>
        <w:t>the Halton St Helens and Knowsley area there are commissioned minor ailments services that may be appropriate as a follow on to the CPCS consultation. If the consultation results in a supply linked to a local minor ailments service this must be recorded onto PharmOutcomes</w:t>
      </w:r>
      <w:r w:rsidR="00281E1A">
        <w:rPr>
          <w:sz w:val="20"/>
          <w:szCs w:val="20"/>
        </w:rPr>
        <w:t>,</w:t>
      </w:r>
      <w:r w:rsidR="003E0468">
        <w:rPr>
          <w:sz w:val="20"/>
          <w:szCs w:val="20"/>
        </w:rPr>
        <w:t xml:space="preserve"> in addition to the CPCS consultation</w:t>
      </w:r>
      <w:r w:rsidR="00281E1A">
        <w:rPr>
          <w:sz w:val="20"/>
          <w:szCs w:val="20"/>
        </w:rPr>
        <w:t xml:space="preserve"> template,</w:t>
      </w:r>
      <w:r w:rsidR="003E0468">
        <w:rPr>
          <w:sz w:val="20"/>
          <w:szCs w:val="20"/>
        </w:rPr>
        <w:t xml:space="preserve"> in order to obtain a payment for the medication supply. </w:t>
      </w:r>
    </w:p>
    <w:p w14:paraId="027FD051" w14:textId="77777777" w:rsidR="005B56C4" w:rsidRDefault="00CA1256" w:rsidP="005B56C4">
      <w:pPr>
        <w:spacing w:line="240" w:lineRule="auto"/>
        <w:jc w:val="both"/>
        <w:rPr>
          <w:sz w:val="20"/>
          <w:szCs w:val="20"/>
        </w:rPr>
      </w:pPr>
      <w:r w:rsidRPr="00FD00FD">
        <w:rPr>
          <w:sz w:val="20"/>
          <w:szCs w:val="20"/>
        </w:rPr>
        <w:t>Details of the services available locally are on the LPC website:</w:t>
      </w:r>
      <w:r w:rsidR="003E0468">
        <w:rPr>
          <w:sz w:val="20"/>
          <w:szCs w:val="20"/>
        </w:rPr>
        <w:t xml:space="preserve"> </w:t>
      </w:r>
      <w:hyperlink r:id="rId12" w:history="1">
        <w:r w:rsidR="005B56C4" w:rsidRPr="005B56C4">
          <w:rPr>
            <w:rStyle w:val="Hyperlink"/>
            <w:sz w:val="20"/>
            <w:szCs w:val="20"/>
          </w:rPr>
          <w:t>http://liverpool-lpc.org.uk/commissioned-services/</w:t>
        </w:r>
      </w:hyperlink>
    </w:p>
    <w:p w14:paraId="6506FDFB" w14:textId="77777777" w:rsidR="005B56C4" w:rsidRDefault="005B56C4" w:rsidP="005B56C4">
      <w:pPr>
        <w:spacing w:line="240" w:lineRule="auto"/>
        <w:jc w:val="both"/>
        <w:rPr>
          <w:sz w:val="20"/>
          <w:szCs w:val="20"/>
        </w:rPr>
      </w:pPr>
    </w:p>
    <w:p w14:paraId="62FA2A2A" w14:textId="77777777" w:rsidR="005B56C4" w:rsidRDefault="005B56C4">
      <w:pPr>
        <w:rPr>
          <w:sz w:val="20"/>
          <w:szCs w:val="20"/>
        </w:rPr>
      </w:pPr>
    </w:p>
    <w:sectPr w:rsidR="005B56C4" w:rsidSect="005B56C4">
      <w:headerReference w:type="even" r:id="rId13"/>
      <w:headerReference w:type="default" r:id="rId14"/>
      <w:footerReference w:type="even" r:id="rId15"/>
      <w:footerReference w:type="default" r:id="rId16"/>
      <w:headerReference w:type="first" r:id="rId17"/>
      <w:footerReference w:type="first" r:id="rId18"/>
      <w:pgSz w:w="11906" w:h="16838"/>
      <w:pgMar w:top="1077" w:right="1274" w:bottom="96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4BEF" w14:textId="77777777" w:rsidR="0089305B" w:rsidRDefault="0089305B" w:rsidP="00CA1256">
      <w:pPr>
        <w:spacing w:after="0" w:line="240" w:lineRule="auto"/>
      </w:pPr>
      <w:r>
        <w:separator/>
      </w:r>
    </w:p>
  </w:endnote>
  <w:endnote w:type="continuationSeparator" w:id="0">
    <w:p w14:paraId="017FDDD0" w14:textId="77777777" w:rsidR="0089305B" w:rsidRDefault="0089305B" w:rsidP="00CA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5595" w14:textId="77777777" w:rsidR="005B56C4" w:rsidRDefault="005B5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C3F2" w14:textId="77777777" w:rsidR="005B56C4" w:rsidRDefault="005B5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88E7" w14:textId="77777777" w:rsidR="005B56C4" w:rsidRDefault="005B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1628" w14:textId="77777777" w:rsidR="0089305B" w:rsidRDefault="0089305B" w:rsidP="00CA1256">
      <w:pPr>
        <w:spacing w:after="0" w:line="240" w:lineRule="auto"/>
      </w:pPr>
      <w:r>
        <w:separator/>
      </w:r>
    </w:p>
  </w:footnote>
  <w:footnote w:type="continuationSeparator" w:id="0">
    <w:p w14:paraId="50535B2F" w14:textId="77777777" w:rsidR="0089305B" w:rsidRDefault="0089305B" w:rsidP="00CA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F8F0" w14:textId="77777777" w:rsidR="005B56C4" w:rsidRDefault="005B5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D8DC" w14:textId="62F8B507" w:rsidR="00AD1150" w:rsidRPr="00AD1150" w:rsidRDefault="00AD1150" w:rsidP="00AD1150">
    <w:pPr>
      <w:widowControl w:val="0"/>
      <w:spacing w:after="120" w:line="285" w:lineRule="auto"/>
      <w:rPr>
        <w:rFonts w:ascii="Calibri" w:eastAsia="Times New Roman" w:hAnsi="Calibri" w:cs="Calibri"/>
        <w:b/>
        <w:bCs/>
        <w:color w:val="669900"/>
        <w:kern w:val="28"/>
        <w:sz w:val="40"/>
        <w:szCs w:val="40"/>
        <w:lang w:eastAsia="en-GB"/>
        <w14:cntxtAlts/>
      </w:rPr>
    </w:pPr>
    <w:r>
      <w:rPr>
        <w:noProof/>
      </w:rPr>
      <w:drawing>
        <wp:anchor distT="0" distB="0" distL="114300" distR="114300" simplePos="0" relativeHeight="251658240" behindDoc="0" locked="0" layoutInCell="1" allowOverlap="1" wp14:anchorId="226CF01D" wp14:editId="740E87B6">
          <wp:simplePos x="0" y="0"/>
          <wp:positionH relativeFrom="column">
            <wp:posOffset>-372110</wp:posOffset>
          </wp:positionH>
          <wp:positionV relativeFrom="paragraph">
            <wp:posOffset>-202565</wp:posOffset>
          </wp:positionV>
          <wp:extent cx="1057275" cy="9042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EA65600" wp14:editId="02BD186E">
              <wp:simplePos x="0" y="0"/>
              <wp:positionH relativeFrom="column">
                <wp:posOffset>933450</wp:posOffset>
              </wp:positionH>
              <wp:positionV relativeFrom="paragraph">
                <wp:posOffset>-240665</wp:posOffset>
              </wp:positionV>
              <wp:extent cx="66675" cy="971550"/>
              <wp:effectExtent l="0" t="0" r="9525" b="0"/>
              <wp:wrapNone/>
              <wp:docPr id="6" name="Rectangle 6"/>
              <wp:cNvGraphicFramePr/>
              <a:graphic xmlns:a="http://schemas.openxmlformats.org/drawingml/2006/main">
                <a:graphicData uri="http://schemas.microsoft.com/office/word/2010/wordprocessingShape">
                  <wps:wsp>
                    <wps:cNvSpPr/>
                    <wps:spPr>
                      <a:xfrm>
                        <a:off x="0" y="0"/>
                        <a:ext cx="66675" cy="971550"/>
                      </a:xfrm>
                      <a:prstGeom prst="rect">
                        <a:avLst/>
                      </a:prstGeom>
                      <a:solidFill>
                        <a:srgbClr val="5A9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33FB09" id="Rectangle 6" o:spid="_x0000_s1026" style="position:absolute;margin-left:73.5pt;margin-top:-18.95pt;width:5.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qklwIAAIMFAAAOAAAAZHJzL2Uyb0RvYy54bWysVE1v2zAMvQ/YfxB0Xx1nTboGdYogRYcB&#10;RVu0HXpWZCk2IIsapcTJfv0o+aNdV+wwLAdFFMlH8pnkxeWhMWyv0NdgC56fTDhTVkJZ223Bvz9d&#10;f/rCmQ/ClsKAVQU/Ks8vlx8/XLRuoaZQgSkVMgKxftG6glchuEWWeVmpRvgTcMqSUgM2IpCI26xE&#10;0RJ6Y7LpZDLPWsDSIUjlPb1edUq+TPhaKxnutPYqMFNwyi2kE9O5iWe2vBCLLQpX1bJPQ/xDFo2o&#10;LQUdoa5EEGyH9R9QTS0RPOhwIqHJQOtaqlQDVZNP3lTzWAmnUi1EjncjTf7/wcrb/T2yuiz4nDMr&#10;GvpED0SasFuj2DzS0zq/IKtHd4+95Okaaz1obOI/VcEOidLjSKk6BCbpcT6fn804k6Q5P8tns8R4&#10;9uLr0IevChoWLwVHip14FPsbHygemQ4mMZQHU5fXtTFJwO1mbZDtBX3c2eo8/7yOCZPLb2bGRmML&#10;0a1Tx5cs1tVVkm7haFS0M/ZBaSKEcp+mTFIrqjGOkFLZkHeqSpSqDz+h3xA9Nm/0SLkkwIisKf6I&#10;3QMMlh3IgN1l2dtHV5U6eXSe/C2xznn0SJHBhtG5qS3gewCGquojd/YDSR01kaUNlEdqF4RujryT&#10;1zV9txvhw71AGhwaMVoG4Y4ObaAtOPQ3zirAn++9R3vqZ9Jy1tIgFtz/2AlUnJlvljr9PD89jZOb&#10;hNPZ2ZQEfK3ZvNbYXbMGaoec1o6T6RrtgxmuGqF5pp2xilFJJayk2AWXAQdhHboFQVtHqtUqmdG0&#10;OhFu7KOTETyyGvvy6fAs0PXNG6jpb2EYWrF408OdbfS0sNoF0HVq8Bdee75p0lPj9FsprpLXcrJ6&#10;2Z3LXwAAAP//AwBQSwMEFAAGAAgAAAAhAJ0wQPbgAAAACwEAAA8AAABkcnMvZG93bnJldi54bWxM&#10;j8FOwzAQRO9I/IO1SFyq1gkQ0oY4FQLRCycCF25uvI0D8TqK3Sb8PdsT3Ha0o5k35XZ2vTjhGDpP&#10;CtJVAgKp8aajVsHH+8tyDSJETUb3nlDBDwbYVpcXpS6Mn+gNT3VsBYdQKLQCG+NQSBkai06HlR+Q&#10;+Hfwo9OR5dhKM+qJw10vb5LkXjrdETdYPeCTxea7PjoF6/xrsq+7T4e7UW66Q71o6ueFUtdX8+MD&#10;iIhz/DPDGZ/RoWKmvT+SCaJnfZfzlqhgeZtvQJwdWZ6B2PORZinIqpT/N1S/AAAA//8DAFBLAQIt&#10;ABQABgAIAAAAIQC2gziS/gAAAOEBAAATAAAAAAAAAAAAAAAAAAAAAABbQ29udGVudF9UeXBlc10u&#10;eG1sUEsBAi0AFAAGAAgAAAAhADj9If/WAAAAlAEAAAsAAAAAAAAAAAAAAAAALwEAAF9yZWxzLy5y&#10;ZWxzUEsBAi0AFAAGAAgAAAAhAAq1qqSXAgAAgwUAAA4AAAAAAAAAAAAAAAAALgIAAGRycy9lMm9E&#10;b2MueG1sUEsBAi0AFAAGAAgAAAAhAJ0wQPbgAAAACwEAAA8AAAAAAAAAAAAAAAAA8QQAAGRycy9k&#10;b3ducmV2LnhtbFBLBQYAAAAABAAEAPMAAAD+BQAAAAA=&#10;" fillcolor="#5a913c" stroked="f" strokeweight="2pt"/>
          </w:pict>
        </mc:Fallback>
      </mc:AlternateContent>
    </w:r>
    <w:r w:rsidR="003E0468">
      <w:rPr>
        <w:rFonts w:cstheme="minorHAnsi"/>
        <w:b/>
        <w:color w:val="4E8F00"/>
        <w:sz w:val="38"/>
      </w:rPr>
      <w:t xml:space="preserve">  </w:t>
    </w:r>
    <w:r>
      <w:rPr>
        <w:rFonts w:cstheme="minorHAnsi"/>
        <w:b/>
        <w:color w:val="4E8F00"/>
        <w:sz w:val="38"/>
      </w:rPr>
      <w:t xml:space="preserve">       </w:t>
    </w:r>
    <w:r w:rsidRPr="00AD1150">
      <w:rPr>
        <w:rFonts w:cstheme="minorHAnsi"/>
        <w:b/>
        <w:bCs/>
        <w:color w:val="4E8F00"/>
        <w:sz w:val="40"/>
        <w:szCs w:val="40"/>
      </w:rPr>
      <w:t>Locum checklist for CPCS</w:t>
    </w:r>
    <w:r w:rsidRPr="00AD1150">
      <w:rPr>
        <w:rFonts w:cstheme="minorHAnsi"/>
        <w:color w:val="4E8F00"/>
        <w:sz w:val="40"/>
        <w:szCs w:val="40"/>
      </w:rPr>
      <w:t xml:space="preserve"> </w:t>
    </w:r>
  </w:p>
  <w:p w14:paraId="29BA030B" w14:textId="31447BD9" w:rsidR="003E0468" w:rsidRPr="003B0557" w:rsidRDefault="003E0468" w:rsidP="003E0468">
    <w:pPr>
      <w:spacing w:before="22"/>
      <w:rPr>
        <w:rFonts w:cstheme="minorHAnsi"/>
        <w:b/>
        <w:color w:val="4E8F00"/>
        <w:sz w:val="38"/>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B7C6" w14:textId="77777777" w:rsidR="005B56C4" w:rsidRDefault="005B5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7CCC"/>
    <w:multiLevelType w:val="hybridMultilevel"/>
    <w:tmpl w:val="EDC4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E0A66"/>
    <w:multiLevelType w:val="hybridMultilevel"/>
    <w:tmpl w:val="39DAD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BF1A03"/>
    <w:multiLevelType w:val="hybridMultilevel"/>
    <w:tmpl w:val="2E5A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A4D2D"/>
    <w:multiLevelType w:val="hybridMultilevel"/>
    <w:tmpl w:val="E9EC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287640"/>
    <w:multiLevelType w:val="hybridMultilevel"/>
    <w:tmpl w:val="A956D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A2"/>
    <w:rsid w:val="00020317"/>
    <w:rsid w:val="00161CCD"/>
    <w:rsid w:val="00166C05"/>
    <w:rsid w:val="00187A9C"/>
    <w:rsid w:val="001C3DAA"/>
    <w:rsid w:val="001F4208"/>
    <w:rsid w:val="00275C18"/>
    <w:rsid w:val="00281E1A"/>
    <w:rsid w:val="00292506"/>
    <w:rsid w:val="002A59E3"/>
    <w:rsid w:val="002B3919"/>
    <w:rsid w:val="003E0468"/>
    <w:rsid w:val="003E6317"/>
    <w:rsid w:val="005139FD"/>
    <w:rsid w:val="005330B8"/>
    <w:rsid w:val="005B56C4"/>
    <w:rsid w:val="005D4D9B"/>
    <w:rsid w:val="007027C6"/>
    <w:rsid w:val="00713A18"/>
    <w:rsid w:val="00721BA2"/>
    <w:rsid w:val="007767FA"/>
    <w:rsid w:val="0089305B"/>
    <w:rsid w:val="00944FB2"/>
    <w:rsid w:val="009E7D90"/>
    <w:rsid w:val="00A25F3B"/>
    <w:rsid w:val="00A43093"/>
    <w:rsid w:val="00AD1150"/>
    <w:rsid w:val="00B165FA"/>
    <w:rsid w:val="00B5486F"/>
    <w:rsid w:val="00B571B0"/>
    <w:rsid w:val="00BA3143"/>
    <w:rsid w:val="00C149DA"/>
    <w:rsid w:val="00C428F3"/>
    <w:rsid w:val="00C450E1"/>
    <w:rsid w:val="00CA1256"/>
    <w:rsid w:val="00CA5996"/>
    <w:rsid w:val="00CA6167"/>
    <w:rsid w:val="00D82C72"/>
    <w:rsid w:val="00E157CB"/>
    <w:rsid w:val="00E5203A"/>
    <w:rsid w:val="00EC0C8B"/>
    <w:rsid w:val="00EC16A3"/>
    <w:rsid w:val="00F66EC6"/>
    <w:rsid w:val="00FD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66C0"/>
  <w15:chartTrackingRefBased/>
  <w15:docId w15:val="{D00E02FE-7725-42DA-A14D-F84D9B0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87A9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87A9C"/>
    <w:rPr>
      <w:color w:val="0000FF"/>
      <w:u w:val="single"/>
    </w:rPr>
  </w:style>
  <w:style w:type="character" w:styleId="UnresolvedMention">
    <w:name w:val="Unresolved Mention"/>
    <w:basedOn w:val="DefaultParagraphFont"/>
    <w:uiPriority w:val="99"/>
    <w:semiHidden/>
    <w:unhideWhenUsed/>
    <w:rsid w:val="00CA1256"/>
    <w:rPr>
      <w:color w:val="605E5C"/>
      <w:shd w:val="clear" w:color="auto" w:fill="E1DFDD"/>
    </w:rPr>
  </w:style>
  <w:style w:type="paragraph" w:styleId="Header">
    <w:name w:val="header"/>
    <w:basedOn w:val="Normal"/>
    <w:link w:val="HeaderChar"/>
    <w:uiPriority w:val="99"/>
    <w:unhideWhenUsed/>
    <w:rsid w:val="00CA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56"/>
  </w:style>
  <w:style w:type="paragraph" w:styleId="Footer">
    <w:name w:val="footer"/>
    <w:basedOn w:val="Normal"/>
    <w:link w:val="FooterChar"/>
    <w:uiPriority w:val="99"/>
    <w:unhideWhenUsed/>
    <w:rsid w:val="00CA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56"/>
  </w:style>
  <w:style w:type="character" w:styleId="FollowedHyperlink">
    <w:name w:val="FollowedHyperlink"/>
    <w:basedOn w:val="DefaultParagraphFont"/>
    <w:uiPriority w:val="99"/>
    <w:semiHidden/>
    <w:unhideWhenUsed/>
    <w:rsid w:val="003E0468"/>
    <w:rPr>
      <w:color w:val="800080" w:themeColor="followedHyperlink"/>
      <w:u w:val="single"/>
    </w:rPr>
  </w:style>
  <w:style w:type="paragraph" w:styleId="ListParagraph">
    <w:name w:val="List Paragraph"/>
    <w:basedOn w:val="Normal"/>
    <w:uiPriority w:val="34"/>
    <w:qFormat/>
    <w:rsid w:val="00275C18"/>
    <w:pPr>
      <w:ind w:left="720"/>
      <w:contextualSpacing/>
    </w:pPr>
  </w:style>
  <w:style w:type="character" w:styleId="CommentReference">
    <w:name w:val="annotation reference"/>
    <w:basedOn w:val="DefaultParagraphFont"/>
    <w:uiPriority w:val="99"/>
    <w:semiHidden/>
    <w:unhideWhenUsed/>
    <w:rsid w:val="00166C05"/>
    <w:rPr>
      <w:sz w:val="16"/>
      <w:szCs w:val="16"/>
    </w:rPr>
  </w:style>
  <w:style w:type="paragraph" w:styleId="CommentText">
    <w:name w:val="annotation text"/>
    <w:basedOn w:val="Normal"/>
    <w:link w:val="CommentTextChar"/>
    <w:uiPriority w:val="99"/>
    <w:semiHidden/>
    <w:unhideWhenUsed/>
    <w:rsid w:val="00166C05"/>
    <w:pPr>
      <w:spacing w:line="240" w:lineRule="auto"/>
    </w:pPr>
    <w:rPr>
      <w:sz w:val="20"/>
      <w:szCs w:val="20"/>
    </w:rPr>
  </w:style>
  <w:style w:type="character" w:customStyle="1" w:styleId="CommentTextChar">
    <w:name w:val="Comment Text Char"/>
    <w:basedOn w:val="DefaultParagraphFont"/>
    <w:link w:val="CommentText"/>
    <w:uiPriority w:val="99"/>
    <w:semiHidden/>
    <w:rsid w:val="00166C05"/>
    <w:rPr>
      <w:sz w:val="20"/>
      <w:szCs w:val="20"/>
    </w:rPr>
  </w:style>
  <w:style w:type="paragraph" w:styleId="CommentSubject">
    <w:name w:val="annotation subject"/>
    <w:basedOn w:val="CommentText"/>
    <w:next w:val="CommentText"/>
    <w:link w:val="CommentSubjectChar"/>
    <w:uiPriority w:val="99"/>
    <w:semiHidden/>
    <w:unhideWhenUsed/>
    <w:rsid w:val="00166C05"/>
    <w:rPr>
      <w:b/>
      <w:bCs/>
    </w:rPr>
  </w:style>
  <w:style w:type="character" w:customStyle="1" w:styleId="CommentSubjectChar">
    <w:name w:val="Comment Subject Char"/>
    <w:basedOn w:val="CommentTextChar"/>
    <w:link w:val="CommentSubject"/>
    <w:uiPriority w:val="99"/>
    <w:semiHidden/>
    <w:rsid w:val="00166C05"/>
    <w:rPr>
      <w:b/>
      <w:bCs/>
      <w:sz w:val="20"/>
      <w:szCs w:val="20"/>
    </w:rPr>
  </w:style>
  <w:style w:type="paragraph" w:styleId="BalloonText">
    <w:name w:val="Balloon Text"/>
    <w:basedOn w:val="Normal"/>
    <w:link w:val="BalloonTextChar"/>
    <w:uiPriority w:val="99"/>
    <w:semiHidden/>
    <w:unhideWhenUsed/>
    <w:rsid w:val="00166C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C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verpool-lpc.org.uk/commissioned-ser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der.directoryofservices.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harmoutcomes.org/pharmoutcomes/help/home?cp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9E0A4B0566C649B1A298527379E0FD" ma:contentTypeVersion="10" ma:contentTypeDescription="Create a new document." ma:contentTypeScope="" ma:versionID="bfbcd1de0e922af865a46391099657d7">
  <xsd:schema xmlns:xsd="http://www.w3.org/2001/XMLSchema" xmlns:xs="http://www.w3.org/2001/XMLSchema" xmlns:p="http://schemas.microsoft.com/office/2006/metadata/properties" xmlns:ns3="9dcaec17-5d8f-43c1-a4ee-1a9e46bba7c8" xmlns:ns4="f0963c83-d199-45a8-b61c-13bb4d541b15" targetNamespace="http://schemas.microsoft.com/office/2006/metadata/properties" ma:root="true" ma:fieldsID="2ed2d99a8a69044847f8fd818ffeeac8" ns3:_="" ns4:_="">
    <xsd:import namespace="9dcaec17-5d8f-43c1-a4ee-1a9e46bba7c8"/>
    <xsd:import namespace="f0963c83-d199-45a8-b61c-13bb4d541b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ec17-5d8f-43c1-a4ee-1a9e46bba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63c83-d199-45a8-b61c-13bb4d541b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B8916-D03B-4BF8-A288-E4D5E2991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87A3F-46DE-428A-91A3-3551D654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ec17-5d8f-43c1-a4ee-1a9e46bba7c8"/>
    <ds:schemaRef ds:uri="f0963c83-d199-45a8-b61c-13bb4d541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A306F-786F-4502-B3D4-9CDB7C745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Thayer</dc:creator>
  <cp:keywords/>
  <dc:description/>
  <cp:lastModifiedBy>Liverpool LPC</cp:lastModifiedBy>
  <cp:revision>3</cp:revision>
  <dcterms:created xsi:type="dcterms:W3CDTF">2019-10-31T09:59:00Z</dcterms:created>
  <dcterms:modified xsi:type="dcterms:W3CDTF">2019-10-31T10:09:00Z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0x010100EC9E0A4B0566C649B1A298527379E0FD</vt:lpwstr>
  </property>
</Properties>
</file>