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F06A" w14:textId="5B295497" w:rsidR="000D5D38" w:rsidRDefault="00941CDA" w:rsidP="00941CDA">
      <w:pPr>
        <w:pStyle w:val="BodyText"/>
        <w:rPr>
          <w:b/>
          <w:color w:val="4E8F00"/>
        </w:rPr>
      </w:pPr>
      <w:r>
        <w:rPr>
          <w:rFonts w:ascii="Times New Roman"/>
          <w:noProof/>
        </w:rPr>
        <w:drawing>
          <wp:inline distT="0" distB="0" distL="0" distR="0" wp14:anchorId="6A52E336" wp14:editId="771C94A2">
            <wp:extent cx="1591489" cy="1266825"/>
            <wp:effectExtent l="0" t="0" r="889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 l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84" cy="127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D38">
        <w:rPr>
          <w:rFonts w:ascii="Times New Roman"/>
        </w:rPr>
        <w:tab/>
      </w:r>
      <w:r w:rsidR="000D5D38">
        <w:rPr>
          <w:rFonts w:ascii="Times New Roman"/>
        </w:rPr>
        <w:tab/>
      </w:r>
    </w:p>
    <w:p w14:paraId="18D3C393" w14:textId="30952AD9" w:rsidR="0098031C" w:rsidRPr="001E29F8" w:rsidRDefault="00482079" w:rsidP="004601B6">
      <w:pPr>
        <w:pStyle w:val="Heading1"/>
        <w:spacing w:before="1"/>
        <w:ind w:left="0"/>
        <w:rPr>
          <w:b/>
          <w:color w:val="7030A0"/>
          <w:sz w:val="36"/>
          <w:szCs w:val="36"/>
        </w:rPr>
      </w:pPr>
      <w:r w:rsidRPr="00AA2156">
        <w:rPr>
          <w:b/>
          <w:color w:val="4E8F00"/>
          <w:sz w:val="36"/>
          <w:szCs w:val="36"/>
        </w:rPr>
        <w:t>Community Pharmacy</w:t>
      </w:r>
      <w:r w:rsidR="00E77A41" w:rsidRPr="00AA2156">
        <w:rPr>
          <w:b/>
          <w:color w:val="4E8F00"/>
          <w:sz w:val="36"/>
          <w:szCs w:val="36"/>
        </w:rPr>
        <w:t xml:space="preserve"> </w:t>
      </w:r>
      <w:r w:rsidR="00FE7062" w:rsidRPr="00AA2156">
        <w:rPr>
          <w:b/>
          <w:color w:val="4E8F00"/>
          <w:sz w:val="36"/>
          <w:szCs w:val="36"/>
        </w:rPr>
        <w:t xml:space="preserve">Contractual Framework </w:t>
      </w:r>
      <w:r w:rsidR="009462F3" w:rsidRPr="00AA2156">
        <w:rPr>
          <w:b/>
          <w:color w:val="4E8F00"/>
          <w:sz w:val="36"/>
          <w:szCs w:val="36"/>
        </w:rPr>
        <w:t xml:space="preserve">and </w:t>
      </w:r>
      <w:r w:rsidR="001E29F8">
        <w:rPr>
          <w:b/>
          <w:color w:val="4E8F00"/>
          <w:sz w:val="36"/>
          <w:szCs w:val="36"/>
        </w:rPr>
        <w:t xml:space="preserve">Pharmacy </w:t>
      </w:r>
      <w:r w:rsidR="009462F3" w:rsidRPr="00AA2156">
        <w:rPr>
          <w:b/>
          <w:color w:val="4E8F00"/>
          <w:sz w:val="36"/>
          <w:szCs w:val="36"/>
        </w:rPr>
        <w:t xml:space="preserve">Quality </w:t>
      </w:r>
      <w:r w:rsidR="001E29F8">
        <w:rPr>
          <w:b/>
          <w:color w:val="4E8F00"/>
          <w:sz w:val="36"/>
          <w:szCs w:val="36"/>
        </w:rPr>
        <w:t>Scheme</w:t>
      </w:r>
      <w:r w:rsidR="001E29F8">
        <w:rPr>
          <w:b/>
          <w:color w:val="7030A0"/>
          <w:sz w:val="36"/>
          <w:szCs w:val="36"/>
        </w:rPr>
        <w:t xml:space="preserve"> </w:t>
      </w:r>
      <w:r w:rsidR="009462F3" w:rsidRPr="00AA2156">
        <w:rPr>
          <w:b/>
          <w:color w:val="4E8F00"/>
          <w:sz w:val="36"/>
          <w:szCs w:val="36"/>
        </w:rPr>
        <w:t>Checklist</w:t>
      </w:r>
    </w:p>
    <w:p w14:paraId="196D283D" w14:textId="0BAD6D5A" w:rsidR="00FE7062" w:rsidRDefault="00FE7062" w:rsidP="004601B6">
      <w:pPr>
        <w:pStyle w:val="Heading1"/>
        <w:spacing w:before="1"/>
        <w:ind w:left="0"/>
        <w:rPr>
          <w:b/>
          <w:color w:val="4E8F00"/>
        </w:rPr>
      </w:pPr>
    </w:p>
    <w:p w14:paraId="1748CA39" w14:textId="66F91602" w:rsidR="00FE7062" w:rsidRPr="00FE7062" w:rsidRDefault="00FE7062" w:rsidP="00FE7062">
      <w:pPr>
        <w:pStyle w:val="Heading1"/>
        <w:spacing w:before="1"/>
        <w:ind w:left="0" w:right="788"/>
        <w:rPr>
          <w:b/>
          <w:color w:val="4E8F00"/>
          <w:sz w:val="20"/>
          <w:szCs w:val="20"/>
        </w:rPr>
      </w:pPr>
      <w:r w:rsidRPr="00FE7062">
        <w:rPr>
          <w:b/>
          <w:color w:val="4E8F00"/>
          <w:sz w:val="20"/>
          <w:szCs w:val="20"/>
        </w:rPr>
        <w:t>Please note</w:t>
      </w:r>
      <w:r>
        <w:rPr>
          <w:b/>
          <w:color w:val="4E8F00"/>
          <w:sz w:val="20"/>
          <w:szCs w:val="20"/>
        </w:rPr>
        <w:t>:</w:t>
      </w:r>
      <w:r w:rsidRPr="00FE7062">
        <w:rPr>
          <w:b/>
          <w:color w:val="4E8F00"/>
          <w:sz w:val="20"/>
          <w:szCs w:val="20"/>
        </w:rPr>
        <w:t xml:space="preserve"> </w:t>
      </w:r>
      <w:r>
        <w:rPr>
          <w:b/>
          <w:color w:val="4E8F00"/>
          <w:sz w:val="20"/>
          <w:szCs w:val="20"/>
        </w:rPr>
        <w:t>This</w:t>
      </w:r>
      <w:r w:rsidRPr="00FE7062">
        <w:rPr>
          <w:b/>
          <w:color w:val="4E8F00"/>
          <w:sz w:val="20"/>
          <w:szCs w:val="20"/>
        </w:rPr>
        <w:t xml:space="preserve"> </w:t>
      </w:r>
      <w:r>
        <w:rPr>
          <w:b/>
          <w:color w:val="4E8F00"/>
          <w:sz w:val="20"/>
          <w:szCs w:val="20"/>
        </w:rPr>
        <w:t>checklist</w:t>
      </w:r>
      <w:r w:rsidRPr="00FE7062">
        <w:rPr>
          <w:b/>
          <w:color w:val="4E8F00"/>
          <w:sz w:val="20"/>
          <w:szCs w:val="20"/>
        </w:rPr>
        <w:t xml:space="preserve"> does not cover all aspects of the new CPCF and</w:t>
      </w:r>
      <w:r w:rsidRPr="001E29F8">
        <w:rPr>
          <w:b/>
          <w:color w:val="76923C" w:themeColor="accent3" w:themeShade="BF"/>
          <w:sz w:val="20"/>
          <w:szCs w:val="20"/>
        </w:rPr>
        <w:t xml:space="preserve"> </w:t>
      </w:r>
      <w:r w:rsidR="00380343" w:rsidRPr="001E29F8">
        <w:rPr>
          <w:b/>
          <w:color w:val="4E8F00"/>
          <w:sz w:val="20"/>
          <w:szCs w:val="20"/>
        </w:rPr>
        <w:t xml:space="preserve">PQS </w:t>
      </w:r>
      <w:r w:rsidRPr="001E29F8">
        <w:rPr>
          <w:b/>
          <w:color w:val="4E8F00"/>
          <w:sz w:val="20"/>
          <w:szCs w:val="20"/>
        </w:rPr>
        <w:t>but</w:t>
      </w:r>
      <w:r w:rsidRPr="00FE7062">
        <w:rPr>
          <w:b/>
          <w:color w:val="4E8F00"/>
          <w:sz w:val="20"/>
          <w:szCs w:val="20"/>
        </w:rPr>
        <w:t xml:space="preserve"> will get you started with the actions that can be completed now. Look out for more information from PSNC and your LPC as it becomes available. </w:t>
      </w:r>
    </w:p>
    <w:p w14:paraId="61DD24FF" w14:textId="7A3778A1" w:rsidR="000A71D7" w:rsidRDefault="000A71D7" w:rsidP="00745E23">
      <w:pPr>
        <w:pStyle w:val="Heading1"/>
        <w:spacing w:before="1"/>
        <w:ind w:left="0"/>
        <w:rPr>
          <w:sz w:val="20"/>
          <w:szCs w:val="20"/>
        </w:rPr>
      </w:pPr>
    </w:p>
    <w:p w14:paraId="56E33E8C" w14:textId="3D00003D" w:rsidR="009462F3" w:rsidRPr="006D5A79" w:rsidRDefault="009462F3" w:rsidP="00745E23">
      <w:pPr>
        <w:pStyle w:val="Heading1"/>
        <w:spacing w:before="1"/>
        <w:ind w:left="0"/>
        <w:rPr>
          <w:b/>
        </w:rPr>
      </w:pPr>
      <w:r w:rsidRPr="006D5A79">
        <w:rPr>
          <w:b/>
          <w:color w:val="4E8F00"/>
        </w:rPr>
        <w:t>Community Pharmacy Contract</w:t>
      </w:r>
      <w:r w:rsidR="008F62FF" w:rsidRPr="006D5A79">
        <w:rPr>
          <w:b/>
          <w:color w:val="4E8F00"/>
        </w:rPr>
        <w:t xml:space="preserve"> – What you can do now</w:t>
      </w:r>
    </w:p>
    <w:p w14:paraId="5D23C341" w14:textId="45C0AF6D" w:rsidR="009C25EE" w:rsidRPr="00122ABA" w:rsidRDefault="009C25EE">
      <w:pPr>
        <w:pStyle w:val="BodyText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6237"/>
        <w:gridCol w:w="1560"/>
      </w:tblGrid>
      <w:tr w:rsidR="009462F3" w:rsidRPr="00AA2156" w14:paraId="7BBFEBA4" w14:textId="77777777" w:rsidTr="006D5A79">
        <w:trPr>
          <w:trHeight w:val="585"/>
        </w:trPr>
        <w:tc>
          <w:tcPr>
            <w:tcW w:w="2268" w:type="dxa"/>
            <w:shd w:val="clear" w:color="auto" w:fill="4E8F00"/>
          </w:tcPr>
          <w:p w14:paraId="134A3F12" w14:textId="77777777" w:rsidR="009462F3" w:rsidRPr="00AA2156" w:rsidRDefault="009462F3" w:rsidP="00B452A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AA2156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237" w:type="dxa"/>
            <w:shd w:val="clear" w:color="auto" w:fill="4E8F00"/>
          </w:tcPr>
          <w:p w14:paraId="15DA8CCF" w14:textId="77777777" w:rsidR="009462F3" w:rsidRPr="00AA2156" w:rsidRDefault="009462F3" w:rsidP="00B452A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AA2156">
              <w:rPr>
                <w:b/>
                <w:bCs/>
                <w:color w:val="FFFFFF" w:themeColor="background1"/>
              </w:rPr>
              <w:t>Action and links</w:t>
            </w:r>
          </w:p>
        </w:tc>
        <w:tc>
          <w:tcPr>
            <w:tcW w:w="1560" w:type="dxa"/>
            <w:shd w:val="clear" w:color="auto" w:fill="4E8F00"/>
          </w:tcPr>
          <w:p w14:paraId="7C589CFD" w14:textId="77777777" w:rsidR="009462F3" w:rsidRPr="00AA2156" w:rsidRDefault="009462F3" w:rsidP="00B452A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AA2156">
              <w:rPr>
                <w:b/>
                <w:bCs/>
                <w:color w:val="FFFFFF" w:themeColor="background1"/>
              </w:rPr>
              <w:t>Tick when</w:t>
            </w:r>
          </w:p>
          <w:p w14:paraId="6E8B9429" w14:textId="77777777" w:rsidR="009462F3" w:rsidRPr="00AA2156" w:rsidRDefault="009462F3" w:rsidP="00B452AD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color w:val="FFFFFF" w:themeColor="background1"/>
              </w:rPr>
            </w:pPr>
            <w:r w:rsidRPr="00AA2156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9462F3" w:rsidRPr="00AA2156" w14:paraId="5F042178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6C5DEBA0" w14:textId="77777777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Community Pharmacy Contractual Framework</w:t>
            </w:r>
          </w:p>
          <w:p w14:paraId="190CA4CF" w14:textId="460426A7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Overview </w:t>
            </w:r>
          </w:p>
        </w:tc>
        <w:tc>
          <w:tcPr>
            <w:tcW w:w="6237" w:type="dxa"/>
            <w:tcBorders>
              <w:top w:val="nil"/>
            </w:tcBorders>
          </w:tcPr>
          <w:p w14:paraId="5BC4152F" w14:textId="375E3B26" w:rsidR="007A7642" w:rsidRPr="000D7736" w:rsidRDefault="007A7642" w:rsidP="007A76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Access the contractor summary and briefing on the new Community Pharmacy Contractual Framework on the </w:t>
            </w:r>
            <w:hyperlink r:id="rId7" w:history="1">
              <w:r w:rsidRPr="000D7736">
                <w:rPr>
                  <w:rStyle w:val="Hyperlink"/>
                  <w:sz w:val="22"/>
                  <w:szCs w:val="22"/>
                </w:rPr>
                <w:t>PSNC website.</w:t>
              </w:r>
            </w:hyperlink>
          </w:p>
          <w:p w14:paraId="1E5F2187" w14:textId="77777777" w:rsidR="00380343" w:rsidRPr="000D7736" w:rsidRDefault="00380343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12AE11" w14:textId="370D2BB3" w:rsidR="00944181" w:rsidRPr="000D7736" w:rsidRDefault="00944181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Keep up to date by signing up to the </w:t>
            </w:r>
            <w:hyperlink r:id="rId8" w:history="1">
              <w:r w:rsidRPr="000D7736">
                <w:rPr>
                  <w:rStyle w:val="Hyperlink"/>
                  <w:sz w:val="22"/>
                  <w:szCs w:val="22"/>
                </w:rPr>
                <w:t>PSNC mailing list.</w:t>
              </w:r>
            </w:hyperlink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</w:tcPr>
          <w:p w14:paraId="13AC9606" w14:textId="77777777" w:rsidR="009462F3" w:rsidRPr="00AA2156" w:rsidRDefault="009462F3" w:rsidP="009462F3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14830671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4EAF426B" w14:textId="77777777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Community Pharmacy Contractual Framework </w:t>
            </w:r>
          </w:p>
          <w:p w14:paraId="2E2005A1" w14:textId="2E42820B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Engagement</w:t>
            </w:r>
          </w:p>
          <w:p w14:paraId="1D84C8C8" w14:textId="77777777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</w:p>
          <w:p w14:paraId="0C058390" w14:textId="72CFEF66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  <w14:textFill>
                  <w14:solidFill>
                    <w14:srgbClr w14:val="4E8F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400BA5C3" w14:textId="4415FA2E" w:rsidR="007A7642" w:rsidRPr="000D7736" w:rsidRDefault="007A7642" w:rsidP="007A76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Listen to PSNC Chief Executive Simon Dukes outline how PSNC is going to support contractors to understand and work under the new CPCF – Access the PSNC webinar </w:t>
            </w:r>
            <w:hyperlink r:id="rId9" w:history="1">
              <w:r w:rsidRPr="000D7736">
                <w:rPr>
                  <w:rStyle w:val="Hyperlink"/>
                  <w:sz w:val="22"/>
                  <w:szCs w:val="22"/>
                </w:rPr>
                <w:t>here.</w:t>
              </w:r>
            </w:hyperlink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A2B7E45" w14:textId="1197E274" w:rsidR="008F62FF" w:rsidRPr="000D7736" w:rsidRDefault="008F62FF" w:rsidP="007A76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D73743" w14:textId="5367317C" w:rsidR="008F62FF" w:rsidRPr="000D7736" w:rsidRDefault="008F62FF" w:rsidP="007A76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View the slides from the webinar </w:t>
            </w:r>
            <w:hyperlink r:id="rId10" w:history="1">
              <w:r w:rsidRPr="000D7736">
                <w:rPr>
                  <w:rStyle w:val="Hyperlink"/>
                  <w:sz w:val="22"/>
                  <w:szCs w:val="22"/>
                </w:rPr>
                <w:t>here.</w:t>
              </w:r>
            </w:hyperlink>
          </w:p>
          <w:p w14:paraId="19E30495" w14:textId="77777777" w:rsidR="007A7642" w:rsidRPr="000D7736" w:rsidRDefault="007A7642" w:rsidP="007A76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444EA3" w14:textId="350FE55D" w:rsidR="007A7642" w:rsidRPr="000D7736" w:rsidRDefault="007A7642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Find out more at the Roadshow events  - book your place </w:t>
            </w:r>
            <w:hyperlink r:id="rId11" w:history="1">
              <w:r w:rsidRPr="000D7736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 w14:paraId="2D89A4C6" w14:textId="77777777" w:rsidR="009462F3" w:rsidRPr="00AA2156" w:rsidRDefault="009462F3" w:rsidP="009462F3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7947A7F1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51610E92" w14:textId="569AFA56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Community Pharmacy Contractual Framework </w:t>
            </w:r>
          </w:p>
          <w:p w14:paraId="128291B5" w14:textId="08143BA7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Healthy Living Pharmacy (HLP)</w:t>
            </w:r>
          </w:p>
          <w:p w14:paraId="31039FE0" w14:textId="061C794E" w:rsidR="009462F3" w:rsidRPr="000D7736" w:rsidRDefault="009462F3" w:rsidP="009462F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4E8F00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2CDFD726" w14:textId="77777777" w:rsidR="00AA2156" w:rsidRPr="000D7736" w:rsidRDefault="00977F47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From April 2020 all community </w:t>
            </w:r>
            <w:r w:rsidR="009A3835"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pharmacies</w:t>
            </w: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A2156"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required to be </w:t>
            </w:r>
            <w:proofErr w:type="gramStart"/>
            <w:r w:rsidR="00AA2156"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gramEnd"/>
            <w:r w:rsidR="00AA2156"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HLP Level 1 as part of the core contract. </w:t>
            </w:r>
          </w:p>
          <w:p w14:paraId="17A89D7F" w14:textId="77777777" w:rsidR="00AA2156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36E7A3" w14:textId="224DA466" w:rsidR="00AA2156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PSNC are currently updating their website with the latest information – look out for further e-mails from the LPC. </w:t>
            </w:r>
          </w:p>
          <w:p w14:paraId="0EE1CB99" w14:textId="074C6754" w:rsidR="00AA2156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24C494" w14:textId="2AF8CA3B" w:rsidR="00AA2156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If you are currently a</w:t>
            </w:r>
            <w:r w:rsidR="00D55A7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Pr="000D773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HLP please check when your accreditation expires and ensure you self-assess in plenty of time</w:t>
            </w: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5FE3790" w14:textId="77777777" w:rsidR="00AA2156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AF9DD6" w14:textId="32C72818" w:rsidR="00977F47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you require training, please visit the </w:t>
            </w:r>
            <w:hyperlink r:id="rId12" w:history="1">
              <w:r w:rsidRPr="000D7736">
                <w:rPr>
                  <w:rStyle w:val="Hyperlink"/>
                  <w:sz w:val="22"/>
                  <w:szCs w:val="22"/>
                </w:rPr>
                <w:t>LPC website</w:t>
              </w:r>
            </w:hyperlink>
            <w:bookmarkStart w:id="0" w:name="_GoBack"/>
            <w:bookmarkEnd w:id="0"/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information regarding training providers. </w:t>
            </w:r>
          </w:p>
          <w:p w14:paraId="7E26F2A1" w14:textId="07A8F334" w:rsidR="009462F3" w:rsidRPr="000D7736" w:rsidRDefault="009462F3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  <w:p w14:paraId="26F8074C" w14:textId="6A86B5D1" w:rsidR="009462F3" w:rsidRPr="000D7736" w:rsidRDefault="00AA2156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DSPs – we are still waiting for clarity on how DSPs will meet HLP criteria - look out for further e-mails from the LPC. </w:t>
            </w:r>
          </w:p>
        </w:tc>
        <w:tc>
          <w:tcPr>
            <w:tcW w:w="1560" w:type="dxa"/>
            <w:tcBorders>
              <w:top w:val="nil"/>
            </w:tcBorders>
          </w:tcPr>
          <w:p w14:paraId="143CBDBD" w14:textId="77777777" w:rsidR="009462F3" w:rsidRPr="00AA2156" w:rsidRDefault="009462F3" w:rsidP="009462F3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2D5A1106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6A97FC94" w14:textId="77777777" w:rsidR="009462F3" w:rsidRPr="000D7736" w:rsidRDefault="009462F3" w:rsidP="009462F3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Community Pharmacy Contractual Framework </w:t>
            </w:r>
          </w:p>
          <w:p w14:paraId="372B5D9C" w14:textId="60E00CDD" w:rsidR="009462F3" w:rsidRPr="000D7736" w:rsidRDefault="009462F3" w:rsidP="007A7642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MURs</w:t>
            </w:r>
          </w:p>
        </w:tc>
        <w:tc>
          <w:tcPr>
            <w:tcW w:w="6237" w:type="dxa"/>
            <w:tcBorders>
              <w:top w:val="nil"/>
            </w:tcBorders>
          </w:tcPr>
          <w:p w14:paraId="3958986F" w14:textId="5FF8824D" w:rsidR="009462F3" w:rsidRPr="000D7736" w:rsidRDefault="007A7642" w:rsidP="009462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 you understand the MUR requirements by access</w:t>
            </w:r>
            <w:r w:rsidR="00380343"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</w:t>
            </w: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</w:t>
            </w:r>
            <w:hyperlink r:id="rId13" w:history="1">
              <w:r w:rsidRPr="000D7736">
                <w:rPr>
                  <w:rStyle w:val="Hyperlink"/>
                  <w:sz w:val="22"/>
                  <w:szCs w:val="22"/>
                </w:rPr>
                <w:t>PSNC MUR FAQ.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14:paraId="16DCBD62" w14:textId="77777777" w:rsidR="009462F3" w:rsidRPr="00AA2156" w:rsidRDefault="009462F3" w:rsidP="009462F3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51371B3" w14:textId="77777777" w:rsidR="009462F3" w:rsidRPr="00AA2156" w:rsidRDefault="009462F3" w:rsidP="00491A82">
      <w:pPr>
        <w:ind w:right="815"/>
        <w:rPr>
          <w:color w:val="404040" w:themeColor="text1" w:themeTint="BF"/>
          <w:sz w:val="22"/>
          <w:szCs w:val="22"/>
        </w:rPr>
      </w:pPr>
    </w:p>
    <w:p w14:paraId="0F8051DD" w14:textId="48D138C4" w:rsidR="006D5A79" w:rsidRDefault="006D5A79" w:rsidP="009462F3">
      <w:pPr>
        <w:pStyle w:val="Heading1"/>
        <w:spacing w:before="1"/>
        <w:ind w:left="0"/>
        <w:rPr>
          <w:b/>
          <w:color w:val="4E8F00"/>
          <w:sz w:val="22"/>
          <w:szCs w:val="22"/>
        </w:rPr>
      </w:pPr>
    </w:p>
    <w:p w14:paraId="1D7B9ADC" w14:textId="29F0B3BA" w:rsidR="006D5A79" w:rsidRDefault="006D5A79" w:rsidP="009462F3">
      <w:pPr>
        <w:pStyle w:val="Heading1"/>
        <w:spacing w:before="1"/>
        <w:ind w:left="0"/>
        <w:rPr>
          <w:b/>
          <w:color w:val="4E8F00"/>
          <w:sz w:val="22"/>
          <w:szCs w:val="22"/>
        </w:rPr>
      </w:pPr>
    </w:p>
    <w:p w14:paraId="122BBD31" w14:textId="3305B361" w:rsidR="006D5A79" w:rsidRDefault="006D5A79" w:rsidP="009462F3">
      <w:pPr>
        <w:pStyle w:val="Heading1"/>
        <w:spacing w:before="1"/>
        <w:ind w:left="0"/>
        <w:rPr>
          <w:b/>
          <w:color w:val="4E8F00"/>
          <w:sz w:val="22"/>
          <w:szCs w:val="22"/>
        </w:rPr>
      </w:pPr>
    </w:p>
    <w:p w14:paraId="7CBF5B03" w14:textId="54138CEE" w:rsidR="006D5A79" w:rsidRDefault="006D5A79" w:rsidP="009462F3">
      <w:pPr>
        <w:pStyle w:val="Heading1"/>
        <w:spacing w:before="1"/>
        <w:ind w:left="0"/>
        <w:rPr>
          <w:b/>
          <w:color w:val="4E8F00"/>
          <w:sz w:val="22"/>
          <w:szCs w:val="22"/>
        </w:rPr>
      </w:pPr>
    </w:p>
    <w:p w14:paraId="4BFA9872" w14:textId="77777777" w:rsidR="00AA2156" w:rsidRPr="008F62FF" w:rsidRDefault="00AA2156" w:rsidP="006D5A79">
      <w:pPr>
        <w:pStyle w:val="Heading1"/>
        <w:tabs>
          <w:tab w:val="left" w:pos="2268"/>
        </w:tabs>
        <w:spacing w:before="1"/>
        <w:ind w:left="0"/>
        <w:rPr>
          <w:b/>
          <w:color w:val="4E8F00"/>
          <w:sz w:val="22"/>
          <w:szCs w:val="22"/>
        </w:rPr>
      </w:pPr>
    </w:p>
    <w:p w14:paraId="35FDDEE2" w14:textId="150C13E0" w:rsidR="009462F3" w:rsidRPr="006D5A79" w:rsidRDefault="001E29F8" w:rsidP="009462F3">
      <w:pPr>
        <w:pStyle w:val="Heading1"/>
        <w:spacing w:before="1"/>
        <w:ind w:left="0"/>
        <w:rPr>
          <w:b/>
          <w:color w:val="4E8F00"/>
        </w:rPr>
      </w:pPr>
      <w:r w:rsidRPr="006D5A79">
        <w:rPr>
          <w:b/>
          <w:color w:val="4E8F00"/>
        </w:rPr>
        <w:lastRenderedPageBreak/>
        <w:t xml:space="preserve">Pharmacy </w:t>
      </w:r>
      <w:r w:rsidR="009462F3" w:rsidRPr="006D5A79">
        <w:rPr>
          <w:b/>
          <w:color w:val="4E8F00"/>
        </w:rPr>
        <w:t xml:space="preserve">Quality </w:t>
      </w:r>
      <w:r w:rsidR="00380343" w:rsidRPr="006D5A79">
        <w:rPr>
          <w:b/>
          <w:color w:val="4E8F00"/>
        </w:rPr>
        <w:t>Scheme</w:t>
      </w:r>
      <w:r w:rsidR="00944181" w:rsidRPr="006D5A79">
        <w:rPr>
          <w:b/>
          <w:color w:val="4E8F00"/>
        </w:rPr>
        <w:t xml:space="preserve"> – Overview </w:t>
      </w:r>
    </w:p>
    <w:p w14:paraId="48204C8E" w14:textId="77777777" w:rsidR="00944181" w:rsidRPr="00AA2156" w:rsidRDefault="00944181" w:rsidP="009462F3">
      <w:pPr>
        <w:pStyle w:val="Heading1"/>
        <w:spacing w:before="1"/>
        <w:ind w:left="0"/>
        <w:rPr>
          <w:b/>
          <w:color w:val="4E8F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6237"/>
        <w:gridCol w:w="1560"/>
      </w:tblGrid>
      <w:tr w:rsidR="00944181" w:rsidRPr="00AA2156" w14:paraId="2632A409" w14:textId="77777777" w:rsidTr="006D5A79">
        <w:trPr>
          <w:trHeight w:val="585"/>
        </w:trPr>
        <w:tc>
          <w:tcPr>
            <w:tcW w:w="2268" w:type="dxa"/>
            <w:shd w:val="clear" w:color="auto" w:fill="4E8F00"/>
          </w:tcPr>
          <w:p w14:paraId="0BC9219B" w14:textId="77777777" w:rsidR="00944181" w:rsidRPr="006D5A79" w:rsidRDefault="00944181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237" w:type="dxa"/>
            <w:shd w:val="clear" w:color="auto" w:fill="4E8F00"/>
          </w:tcPr>
          <w:p w14:paraId="3E1AE2D8" w14:textId="77777777" w:rsidR="00944181" w:rsidRPr="006D5A79" w:rsidRDefault="00944181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Action and links</w:t>
            </w:r>
          </w:p>
        </w:tc>
        <w:tc>
          <w:tcPr>
            <w:tcW w:w="1560" w:type="dxa"/>
            <w:shd w:val="clear" w:color="auto" w:fill="4E8F00"/>
          </w:tcPr>
          <w:p w14:paraId="287D4067" w14:textId="77777777" w:rsidR="00944181" w:rsidRPr="006D5A79" w:rsidRDefault="00944181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Tick when</w:t>
            </w:r>
          </w:p>
          <w:p w14:paraId="681C7147" w14:textId="77777777" w:rsidR="00944181" w:rsidRPr="006D5A79" w:rsidRDefault="00944181" w:rsidP="0093335D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944181" w:rsidRPr="000D7736" w14:paraId="419BDD0C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7FCBAEAE" w14:textId="21D29729" w:rsidR="00944181" w:rsidRPr="000D7736" w:rsidRDefault="00944181" w:rsidP="0093335D">
            <w:pP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Read the PSNC </w:t>
            </w:r>
            <w:r w:rsidR="001E29F8"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Pharmacy </w:t>
            </w: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Quality </w:t>
            </w:r>
            <w:r w:rsidR="00380343"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Scheme</w:t>
            </w: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 Briefing</w:t>
            </w:r>
          </w:p>
        </w:tc>
        <w:tc>
          <w:tcPr>
            <w:tcW w:w="6237" w:type="dxa"/>
            <w:tcBorders>
              <w:top w:val="nil"/>
            </w:tcBorders>
          </w:tcPr>
          <w:p w14:paraId="6CA8A80D" w14:textId="42298426" w:rsidR="00944181" w:rsidRPr="000D7736" w:rsidRDefault="00944181" w:rsidP="009441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 July 2019, a new PQS was announced for the remainder of 2019/20.</w:t>
            </w:r>
          </w:p>
          <w:p w14:paraId="4DBF7946" w14:textId="459C599B" w:rsidR="00944181" w:rsidRPr="000D7736" w:rsidRDefault="00944181" w:rsidP="00944181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  <w:p w14:paraId="43F93901" w14:textId="1F0D1BF4" w:rsidR="00380343" w:rsidRPr="000D7736" w:rsidRDefault="00944181" w:rsidP="0093335D">
            <w:pPr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Read the PSNC briefing </w:t>
            </w:r>
            <w:hyperlink r:id="rId14" w:history="1">
              <w:r w:rsidRPr="000D7736">
                <w:rPr>
                  <w:rStyle w:val="Hyperlink"/>
                  <w:sz w:val="22"/>
                  <w:szCs w:val="22"/>
                </w:rPr>
                <w:t>here.</w:t>
              </w:r>
            </w:hyperlink>
            <w:r w:rsidRPr="000D7736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Further information is available on the</w:t>
            </w:r>
            <w:r w:rsidRPr="000D7736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hyperlink r:id="rId15" w:history="1">
              <w:r w:rsidRPr="000D7736">
                <w:rPr>
                  <w:rStyle w:val="Hyperlink"/>
                  <w:sz w:val="22"/>
                  <w:szCs w:val="22"/>
                </w:rPr>
                <w:t>PSNC website.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14:paraId="4B0CB580" w14:textId="77777777" w:rsidR="00944181" w:rsidRPr="000D7736" w:rsidRDefault="00944181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181" w:rsidRPr="000D7736" w14:paraId="6C0DB504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137BDE45" w14:textId="77777777" w:rsidR="00944181" w:rsidRPr="000D7736" w:rsidRDefault="00944181" w:rsidP="0093335D">
            <w:pP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Register for the Manage Your Service (MYS) application on the NHSBSA website</w:t>
            </w:r>
          </w:p>
        </w:tc>
        <w:tc>
          <w:tcPr>
            <w:tcW w:w="6237" w:type="dxa"/>
            <w:tcBorders>
              <w:top w:val="nil"/>
            </w:tcBorders>
          </w:tcPr>
          <w:p w14:paraId="179D35DC" w14:textId="77777777" w:rsidR="00FE7062" w:rsidRPr="000D7736" w:rsidRDefault="00FE7062" w:rsidP="00FE706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MYS will be the only way to claim a PQS</w:t>
            </w:r>
            <w:r w:rsidRPr="000D773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hyperlink r:id="rId16" w:history="1">
              <w:r w:rsidRPr="000D7736">
                <w:rPr>
                  <w:rStyle w:val="Hyperlink"/>
                  <w:sz w:val="22"/>
                  <w:szCs w:val="22"/>
                </w:rPr>
                <w:t>Aspiration payment</w:t>
              </w:r>
            </w:hyperlink>
            <w:r w:rsidRPr="000D7736">
              <w:rPr>
                <w:rStyle w:val="apple-converted-space"/>
                <w:rFonts w:asciiTheme="minorHAnsi" w:hAnsiTheme="minorHAnsi" w:cstheme="minorHAnsi"/>
                <w:color w:val="444444"/>
                <w:sz w:val="22"/>
                <w:szCs w:val="22"/>
              </w:rPr>
              <w:t> </w:t>
            </w: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make a PQS declaration. </w:t>
            </w:r>
          </w:p>
          <w:p w14:paraId="6876B8C9" w14:textId="77777777" w:rsidR="00FE7062" w:rsidRPr="000D7736" w:rsidRDefault="00FE7062" w:rsidP="00FE706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4469D4" w14:textId="6FB7B9CC" w:rsidR="00FE7062" w:rsidRPr="000D7736" w:rsidRDefault="00FE7062" w:rsidP="00FE7062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system will also be the route for claiming payment for the Flu Vaccination Service 2019/20 and notifying readiness to provide the new</w:t>
            </w:r>
            <w:r w:rsidRPr="000D773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hyperlink r:id="rId17" w:history="1">
              <w:r w:rsidRPr="000D7736">
                <w:rPr>
                  <w:rStyle w:val="Hyperlink"/>
                  <w:sz w:val="22"/>
                  <w:szCs w:val="22"/>
                </w:rPr>
                <w:t>Community Pharmacist Consultation Service (CPCS)</w:t>
              </w:r>
            </w:hyperlink>
            <w:r w:rsidRPr="000D7736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.</w:t>
            </w:r>
          </w:p>
          <w:p w14:paraId="765FBF84" w14:textId="77777777" w:rsidR="00FE7062" w:rsidRPr="000D7736" w:rsidRDefault="00FE7062" w:rsidP="00FE7062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  <w:p w14:paraId="2F09DA9F" w14:textId="18EB5E95" w:rsidR="00FE7062" w:rsidRPr="000D7736" w:rsidRDefault="00FE7062" w:rsidP="00FE706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 is recommended that you read the </w:t>
            </w:r>
            <w:hyperlink r:id="rId18" w:history="1">
              <w:r w:rsidRPr="000D7736">
                <w:rPr>
                  <w:rStyle w:val="Hyperlink"/>
                  <w:sz w:val="22"/>
                  <w:szCs w:val="22"/>
                </w:rPr>
                <w:t>PSNC MYS FAQ</w:t>
              </w:r>
            </w:hyperlink>
            <w:r w:rsidRPr="000D7736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before completing the authorisation form.</w:t>
            </w:r>
          </w:p>
          <w:p w14:paraId="43E3829D" w14:textId="77777777" w:rsidR="00380343" w:rsidRPr="000D7736" w:rsidRDefault="00380343" w:rsidP="00FE706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688112" w14:textId="77777777" w:rsidR="00944181" w:rsidRPr="000D7736" w:rsidRDefault="00FE7062" w:rsidP="00FE7062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Find out more </w:t>
            </w:r>
            <w:hyperlink r:id="rId19" w:history="1">
              <w:r w:rsidRPr="000D7736">
                <w:rPr>
                  <w:rStyle w:val="Hyperlink"/>
                  <w:sz w:val="22"/>
                  <w:szCs w:val="22"/>
                </w:rPr>
                <w:t>here.</w:t>
              </w:r>
            </w:hyperlink>
            <w:r w:rsidRPr="000D7736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</w:p>
          <w:p w14:paraId="5E441D65" w14:textId="77777777" w:rsidR="008F62FF" w:rsidRPr="000D7736" w:rsidRDefault="008F62FF" w:rsidP="00FE7062">
            <w:pPr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</w:p>
          <w:p w14:paraId="280EE523" w14:textId="0E5AA444" w:rsidR="008F62FF" w:rsidRPr="000D7736" w:rsidRDefault="008F62FF" w:rsidP="008F62F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If you are part of a pharmacy group or multiple, please liaise with your company managers/head office</w:t>
            </w:r>
          </w:p>
        </w:tc>
        <w:tc>
          <w:tcPr>
            <w:tcW w:w="1560" w:type="dxa"/>
            <w:tcBorders>
              <w:top w:val="nil"/>
            </w:tcBorders>
          </w:tcPr>
          <w:p w14:paraId="5E793C5D" w14:textId="77777777" w:rsidR="00944181" w:rsidRPr="000D7736" w:rsidRDefault="00944181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675BF85" w14:textId="77777777" w:rsidR="00944181" w:rsidRPr="000D7736" w:rsidRDefault="00944181" w:rsidP="009462F3">
      <w:pPr>
        <w:pStyle w:val="Heading1"/>
        <w:spacing w:before="1"/>
        <w:ind w:left="0"/>
        <w:rPr>
          <w:rFonts w:asciiTheme="minorHAnsi" w:hAnsiTheme="minorHAnsi" w:cstheme="minorHAnsi"/>
          <w:b/>
          <w:color w:val="4E8F00"/>
          <w:sz w:val="22"/>
          <w:szCs w:val="22"/>
        </w:rPr>
      </w:pPr>
    </w:p>
    <w:p w14:paraId="3DE1757F" w14:textId="4C5DEC9B" w:rsidR="00944181" w:rsidRPr="006D5A79" w:rsidRDefault="008F62FF" w:rsidP="00944181">
      <w:pPr>
        <w:pStyle w:val="Heading1"/>
        <w:spacing w:before="1"/>
        <w:ind w:left="0"/>
        <w:rPr>
          <w:b/>
          <w:color w:val="4E8F00"/>
        </w:rPr>
      </w:pPr>
      <w:r w:rsidRPr="006D5A79">
        <w:rPr>
          <w:b/>
          <w:color w:val="4E8F00"/>
        </w:rPr>
        <w:t xml:space="preserve">Pharmacy </w:t>
      </w:r>
      <w:r w:rsidR="00944181" w:rsidRPr="006D5A79">
        <w:rPr>
          <w:b/>
          <w:color w:val="4E8F00"/>
        </w:rPr>
        <w:t xml:space="preserve">Quality </w:t>
      </w:r>
      <w:r w:rsidR="00380343" w:rsidRPr="006D5A79">
        <w:rPr>
          <w:b/>
          <w:color w:val="4E8F00"/>
        </w:rPr>
        <w:t>Scheme</w:t>
      </w:r>
      <w:r w:rsidR="00944181" w:rsidRPr="006D5A79">
        <w:rPr>
          <w:b/>
          <w:color w:val="4E8F00"/>
        </w:rPr>
        <w:t xml:space="preserve"> – Gateway</w:t>
      </w:r>
      <w:r w:rsidR="00380343" w:rsidRPr="006D5A79">
        <w:rPr>
          <w:b/>
          <w:color w:val="4E8F00"/>
        </w:rPr>
        <w:t xml:space="preserve"> – Things you can start working on now</w:t>
      </w:r>
    </w:p>
    <w:p w14:paraId="6FB59519" w14:textId="16F4CFA1" w:rsidR="00704004" w:rsidRPr="006D5A79" w:rsidRDefault="00704004" w:rsidP="00491A82">
      <w:pPr>
        <w:ind w:right="815"/>
        <w:rPr>
          <w:b/>
          <w:bCs/>
          <w:color w:val="404040" w:themeColor="text1" w:themeTint="BF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6237"/>
        <w:gridCol w:w="1560"/>
      </w:tblGrid>
      <w:tr w:rsidR="009462F3" w:rsidRPr="006D5A79" w14:paraId="4289D79B" w14:textId="77777777" w:rsidTr="006D5A79">
        <w:trPr>
          <w:trHeight w:val="585"/>
        </w:trPr>
        <w:tc>
          <w:tcPr>
            <w:tcW w:w="2268" w:type="dxa"/>
            <w:shd w:val="clear" w:color="auto" w:fill="4E8F00"/>
          </w:tcPr>
          <w:p w14:paraId="21FC8E45" w14:textId="77777777" w:rsidR="009462F3" w:rsidRPr="006D5A79" w:rsidRDefault="009462F3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237" w:type="dxa"/>
            <w:shd w:val="clear" w:color="auto" w:fill="4E8F00"/>
          </w:tcPr>
          <w:p w14:paraId="70EAA0FD" w14:textId="77777777" w:rsidR="009462F3" w:rsidRPr="006D5A79" w:rsidRDefault="009462F3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Action and links</w:t>
            </w:r>
          </w:p>
        </w:tc>
        <w:tc>
          <w:tcPr>
            <w:tcW w:w="1560" w:type="dxa"/>
            <w:shd w:val="clear" w:color="auto" w:fill="4E8F00"/>
          </w:tcPr>
          <w:p w14:paraId="742F0564" w14:textId="77777777" w:rsidR="009462F3" w:rsidRPr="006D5A79" w:rsidRDefault="009462F3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Tick when</w:t>
            </w:r>
          </w:p>
          <w:p w14:paraId="4AEEB45B" w14:textId="77777777" w:rsidR="009462F3" w:rsidRPr="006D5A79" w:rsidRDefault="009462F3" w:rsidP="0093335D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9462F3" w:rsidRPr="00AA2156" w14:paraId="68F5A989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3E9EA505" w14:textId="49292408" w:rsidR="009462F3" w:rsidRPr="000D7736" w:rsidRDefault="00604E22" w:rsidP="0093335D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 xml:space="preserve">Advanced Services </w:t>
            </w:r>
          </w:p>
        </w:tc>
        <w:tc>
          <w:tcPr>
            <w:tcW w:w="6237" w:type="dxa"/>
            <w:tcBorders>
              <w:top w:val="nil"/>
            </w:tcBorders>
          </w:tcPr>
          <w:p w14:paraId="67B74F5E" w14:textId="77777777" w:rsidR="00604E22" w:rsidRPr="000D7736" w:rsidRDefault="00604E22" w:rsidP="00604E22">
            <w:pPr>
              <w:pStyle w:val="NormalWeb"/>
              <w:rPr>
                <w:rFonts w:cstheme="minorHAnsi"/>
                <w:sz w:val="22"/>
                <w:szCs w:val="22"/>
                <w:u w:val="none"/>
              </w:rPr>
            </w:pPr>
            <w:r w:rsidRPr="000D7736">
              <w:rPr>
                <w:rFonts w:cstheme="minorHAnsi"/>
                <w:color w:val="000000" w:themeColor="text1"/>
                <w:sz w:val="22"/>
                <w:szCs w:val="22"/>
                <w:u w:val="none"/>
              </w:rPr>
              <w:t xml:space="preserve">Ensure you are providing either </w:t>
            </w:r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NHS Community Pharmacy Seasonal Influenza Vaccination Advanced Service and/or the New Medicine Service (NMS). </w:t>
            </w:r>
          </w:p>
          <w:p w14:paraId="672D76F2" w14:textId="2A5F8D71" w:rsidR="009462F3" w:rsidRPr="000D7736" w:rsidRDefault="00604E22" w:rsidP="00604E22">
            <w:pPr>
              <w:pStyle w:val="NormalWeb"/>
              <w:rPr>
                <w:rFonts w:cstheme="minorHAnsi"/>
                <w:sz w:val="22"/>
                <w:szCs w:val="22"/>
                <w:u w:val="none"/>
              </w:rPr>
            </w:pPr>
            <w:r w:rsidRPr="000D7736">
              <w:rPr>
                <w:rFonts w:cstheme="minorHAnsi"/>
                <w:sz w:val="22"/>
                <w:szCs w:val="22"/>
                <w:u w:val="none"/>
              </w:rPr>
              <w:t>If you are providing one of these services, it must be listed on your NHS.uk profile.</w:t>
            </w:r>
          </w:p>
        </w:tc>
        <w:tc>
          <w:tcPr>
            <w:tcW w:w="1560" w:type="dxa"/>
            <w:tcBorders>
              <w:top w:val="nil"/>
            </w:tcBorders>
          </w:tcPr>
          <w:p w14:paraId="563922B7" w14:textId="77777777" w:rsidR="009462F3" w:rsidRPr="00AA2156" w:rsidRDefault="009462F3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43A4A340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5979F624" w14:textId="0A43C49B" w:rsidR="009462F3" w:rsidRPr="000D7736" w:rsidRDefault="00604E22" w:rsidP="0093335D">
            <w:pPr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</w:pPr>
            <w:proofErr w:type="spellStart"/>
            <w:r w:rsidRPr="000D7736">
              <w:rPr>
                <w:rFonts w:asciiTheme="minorHAnsi" w:hAnsiTheme="minorHAnsi" w:cstheme="minorHAnsi"/>
                <w:b/>
                <w:bCs/>
                <w:color w:val="4E8F00"/>
                <w:sz w:val="22"/>
                <w:szCs w:val="22"/>
              </w:rPr>
              <w:t>NHSMail</w:t>
            </w:r>
            <w:proofErr w:type="spellEnd"/>
          </w:p>
        </w:tc>
        <w:tc>
          <w:tcPr>
            <w:tcW w:w="6237" w:type="dxa"/>
            <w:tcBorders>
              <w:top w:val="nil"/>
            </w:tcBorders>
          </w:tcPr>
          <w:p w14:paraId="6F92613D" w14:textId="5801F54B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Ensure you are able to send and receive </w:t>
            </w:r>
            <w:proofErr w:type="spellStart"/>
            <w:r w:rsidRPr="000D7736">
              <w:rPr>
                <w:rFonts w:cstheme="minorHAnsi"/>
                <w:color w:val="000000" w:themeColor="text1"/>
                <w:sz w:val="22"/>
                <w:szCs w:val="22"/>
                <w:u w:val="none"/>
              </w:rPr>
              <w:t>NHSmail</w:t>
            </w:r>
            <w:proofErr w:type="spellEnd"/>
            <w:r w:rsidRPr="000D7736">
              <w:rPr>
                <w:rFonts w:cstheme="minorHAns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380343" w:rsidRPr="000D7736">
              <w:rPr>
                <w:rFonts w:cstheme="minorHAnsi"/>
                <w:color w:val="000000" w:themeColor="text1"/>
                <w:sz w:val="22"/>
                <w:szCs w:val="22"/>
                <w:u w:val="none"/>
              </w:rPr>
              <w:t>from</w:t>
            </w:r>
            <w:r w:rsidRPr="000D7736">
              <w:rPr>
                <w:rFonts w:cstheme="minorHAnsi"/>
                <w:color w:val="000000" w:themeColor="text1"/>
                <w:sz w:val="22"/>
                <w:szCs w:val="22"/>
                <w:u w:val="none"/>
              </w:rPr>
              <w:t xml:space="preserve"> your </w:t>
            </w:r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shared premises </w:t>
            </w:r>
            <w:proofErr w:type="spellStart"/>
            <w:r w:rsidRPr="000D7736">
              <w:rPr>
                <w:rFonts w:cstheme="minorHAnsi"/>
                <w:sz w:val="22"/>
                <w:szCs w:val="22"/>
                <w:u w:val="none"/>
              </w:rPr>
              <w:t>NHSmail</w:t>
            </w:r>
            <w:proofErr w:type="spellEnd"/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 mailbox, which must have at least two active linked accounts. </w:t>
            </w:r>
          </w:p>
          <w:p w14:paraId="28629745" w14:textId="77777777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</w:p>
          <w:p w14:paraId="36E4AA08" w14:textId="430281B6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The </w:t>
            </w:r>
            <w:hyperlink r:id="rId20" w:history="1">
              <w:hyperlink r:id="rId21" w:history="1">
                <w:r w:rsidRPr="00941CDA">
                  <w:rPr>
                    <w:rStyle w:val="Hyperlink"/>
                    <w:sz w:val="22"/>
                    <w:szCs w:val="22"/>
                  </w:rPr>
                  <w:t>LPC website</w:t>
                </w:r>
              </w:hyperlink>
            </w:hyperlink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 details how to add a person to your mailbox.</w:t>
            </w:r>
          </w:p>
        </w:tc>
        <w:tc>
          <w:tcPr>
            <w:tcW w:w="1560" w:type="dxa"/>
            <w:tcBorders>
              <w:top w:val="nil"/>
            </w:tcBorders>
          </w:tcPr>
          <w:p w14:paraId="7D5BBE68" w14:textId="77777777" w:rsidR="009462F3" w:rsidRPr="00AA2156" w:rsidRDefault="009462F3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27CADF32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0EEE3121" w14:textId="6C4C030B" w:rsidR="009462F3" w:rsidRPr="000D7736" w:rsidRDefault="00604E22" w:rsidP="009462F3">
            <w:pPr>
              <w:rPr>
                <w:rFonts w:asciiTheme="minorHAnsi" w:hAnsiTheme="minorHAnsi" w:cstheme="minorHAnsi"/>
                <w:b/>
                <w:color w:val="4E8F00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b/>
                <w:color w:val="4E8F00"/>
                <w:sz w:val="22"/>
                <w:szCs w:val="22"/>
              </w:rPr>
              <w:t>Safeguarding Level 2</w:t>
            </w:r>
          </w:p>
        </w:tc>
        <w:tc>
          <w:tcPr>
            <w:tcW w:w="6237" w:type="dxa"/>
            <w:tcBorders>
              <w:top w:val="nil"/>
            </w:tcBorders>
          </w:tcPr>
          <w:p w14:paraId="10758FD3" w14:textId="3070665A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  <w:r w:rsidRPr="000D7736">
              <w:rPr>
                <w:rFonts w:cstheme="minorHAnsi"/>
                <w:sz w:val="22"/>
                <w:szCs w:val="22"/>
                <w:u w:val="none"/>
              </w:rPr>
              <w:t xml:space="preserve">80% of all pharmacy professionals must have achieved Level 2 safeguarding status for children and vulnerable adults in the last two years. </w:t>
            </w:r>
            <w:r w:rsidR="00AA2156" w:rsidRPr="000D7736">
              <w:rPr>
                <w:rFonts w:cstheme="minorHAnsi"/>
                <w:sz w:val="22"/>
                <w:szCs w:val="22"/>
                <w:u w:val="none"/>
              </w:rPr>
              <w:t xml:space="preserve"> </w:t>
            </w:r>
            <w:r w:rsidR="005A59B1" w:rsidRPr="000D7736">
              <w:rPr>
                <w:rFonts w:cstheme="minorHAnsi"/>
                <w:sz w:val="22"/>
                <w:szCs w:val="22"/>
                <w:u w:val="none"/>
              </w:rPr>
              <w:t>(Registered pharmacy professionals are pharmacists and pharmacy technicians. This includes locums, so contractors should encourage temporary staff, such as locum pharmacists, to undertake the training and assessment.)</w:t>
            </w:r>
          </w:p>
          <w:p w14:paraId="578771A7" w14:textId="77777777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</w:p>
          <w:p w14:paraId="0959AB1A" w14:textId="31FA1F5D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color w:val="FFC000"/>
                <w:sz w:val="22"/>
                <w:szCs w:val="22"/>
                <w:u w:val="none"/>
              </w:rPr>
            </w:pPr>
            <w:r w:rsidRPr="000D7736">
              <w:rPr>
                <w:rFonts w:cstheme="minorHAnsi"/>
                <w:color w:val="C00000"/>
                <w:sz w:val="22"/>
                <w:szCs w:val="22"/>
                <w:u w:val="none"/>
              </w:rPr>
              <w:t xml:space="preserve">Please ensure that you check any certificates that you have on file, note when these expire and ensure they are updated in plenty of time. </w:t>
            </w:r>
            <w:r w:rsidR="00380343" w:rsidRPr="000D7736">
              <w:rPr>
                <w:rFonts w:cstheme="minorHAnsi"/>
                <w:color w:val="C00000"/>
                <w:sz w:val="22"/>
                <w:szCs w:val="22"/>
                <w:u w:val="none"/>
              </w:rPr>
              <w:t>Add a reminder to your PQS action plan.</w:t>
            </w:r>
          </w:p>
          <w:p w14:paraId="4CA1DA73" w14:textId="78463F72" w:rsidR="00604E22" w:rsidRPr="000D7736" w:rsidRDefault="00604E22" w:rsidP="00604E22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  <w:u w:val="none"/>
              </w:rPr>
            </w:pPr>
          </w:p>
          <w:p w14:paraId="15B2F432" w14:textId="117F6F36" w:rsidR="009462F3" w:rsidRPr="000D7736" w:rsidRDefault="005A59B1" w:rsidP="00604E2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Visit the </w:t>
            </w:r>
            <w:hyperlink r:id="rId22" w:history="1">
              <w:r w:rsidRPr="000D7736">
                <w:rPr>
                  <w:rStyle w:val="Hyperlink"/>
                  <w:sz w:val="22"/>
                  <w:szCs w:val="22"/>
                </w:rPr>
                <w:t>CPPE website</w:t>
              </w:r>
            </w:hyperlink>
            <w:r w:rsidRPr="000D77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further detail. </w:t>
            </w:r>
          </w:p>
        </w:tc>
        <w:tc>
          <w:tcPr>
            <w:tcW w:w="1560" w:type="dxa"/>
            <w:tcBorders>
              <w:top w:val="nil"/>
            </w:tcBorders>
          </w:tcPr>
          <w:p w14:paraId="0D4EEC46" w14:textId="77777777" w:rsidR="009462F3" w:rsidRPr="00AA2156" w:rsidRDefault="009462F3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12E65C" w14:textId="77777777" w:rsidR="00D062EF" w:rsidRPr="00AA2156" w:rsidRDefault="00D062EF" w:rsidP="00482079">
      <w:pPr>
        <w:ind w:right="815"/>
        <w:rPr>
          <w:rFonts w:asciiTheme="minorHAnsi" w:hAnsiTheme="minorHAnsi" w:cstheme="minorHAnsi"/>
          <w:b/>
          <w:color w:val="4E8F00"/>
          <w:sz w:val="22"/>
          <w:szCs w:val="22"/>
        </w:rPr>
      </w:pPr>
    </w:p>
    <w:p w14:paraId="6B7F6061" w14:textId="2D999880" w:rsidR="00380343" w:rsidRPr="000D04A7" w:rsidRDefault="008F62FF" w:rsidP="00380343">
      <w:pPr>
        <w:pStyle w:val="Heading1"/>
        <w:spacing w:before="1"/>
        <w:ind w:left="0"/>
        <w:rPr>
          <w:b/>
          <w:color w:val="4E8F00"/>
        </w:rPr>
      </w:pPr>
      <w:r w:rsidRPr="000D04A7">
        <w:rPr>
          <w:b/>
          <w:color w:val="4E8F00"/>
        </w:rPr>
        <w:lastRenderedPageBreak/>
        <w:t xml:space="preserve">Pharmacy </w:t>
      </w:r>
      <w:r w:rsidR="009462F3" w:rsidRPr="000D04A7">
        <w:rPr>
          <w:b/>
          <w:color w:val="4E8F00"/>
        </w:rPr>
        <w:t xml:space="preserve">Quality </w:t>
      </w:r>
      <w:r w:rsidR="00380343" w:rsidRPr="000D04A7">
        <w:rPr>
          <w:b/>
          <w:color w:val="4E8F00"/>
        </w:rPr>
        <w:t>Scheme</w:t>
      </w:r>
      <w:r w:rsidR="009462F3" w:rsidRPr="000D04A7">
        <w:rPr>
          <w:b/>
          <w:color w:val="4E8F00"/>
        </w:rPr>
        <w:t xml:space="preserve"> – Quality Criteria</w:t>
      </w:r>
      <w:r w:rsidR="00380343" w:rsidRPr="000D04A7">
        <w:rPr>
          <w:b/>
          <w:color w:val="4E8F00"/>
        </w:rPr>
        <w:t xml:space="preserve"> - Things you can start working on now</w:t>
      </w:r>
    </w:p>
    <w:p w14:paraId="360FD64C" w14:textId="502298CD" w:rsidR="009462F3" w:rsidRPr="00AA2156" w:rsidRDefault="009462F3" w:rsidP="00482079">
      <w:pPr>
        <w:ind w:right="815"/>
        <w:rPr>
          <w:rFonts w:asciiTheme="minorHAnsi" w:hAnsiTheme="minorHAnsi" w:cstheme="minorHAnsi"/>
          <w:b/>
          <w:color w:val="4E8F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6237"/>
        <w:gridCol w:w="1560"/>
      </w:tblGrid>
      <w:tr w:rsidR="009462F3" w:rsidRPr="00AA2156" w14:paraId="240A0BA2" w14:textId="77777777" w:rsidTr="006D5A79">
        <w:trPr>
          <w:trHeight w:val="585"/>
        </w:trPr>
        <w:tc>
          <w:tcPr>
            <w:tcW w:w="2268" w:type="dxa"/>
            <w:shd w:val="clear" w:color="auto" w:fill="4E8F00"/>
          </w:tcPr>
          <w:p w14:paraId="36CD3D54" w14:textId="77777777" w:rsidR="009462F3" w:rsidRPr="006D5A79" w:rsidRDefault="009462F3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237" w:type="dxa"/>
            <w:shd w:val="clear" w:color="auto" w:fill="4E8F00"/>
          </w:tcPr>
          <w:p w14:paraId="7AB696F4" w14:textId="77777777" w:rsidR="009462F3" w:rsidRPr="006D5A79" w:rsidRDefault="009462F3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Action and links</w:t>
            </w:r>
          </w:p>
        </w:tc>
        <w:tc>
          <w:tcPr>
            <w:tcW w:w="1560" w:type="dxa"/>
            <w:shd w:val="clear" w:color="auto" w:fill="4E8F00"/>
          </w:tcPr>
          <w:p w14:paraId="49CA0DDE" w14:textId="77777777" w:rsidR="009462F3" w:rsidRPr="006D5A79" w:rsidRDefault="009462F3" w:rsidP="0093335D">
            <w:pPr>
              <w:pStyle w:val="TableParagraph"/>
              <w:spacing w:line="292" w:lineRule="exact"/>
              <w:ind w:left="0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Tick when</w:t>
            </w:r>
          </w:p>
          <w:p w14:paraId="6782E7F8" w14:textId="77777777" w:rsidR="009462F3" w:rsidRPr="006D5A79" w:rsidRDefault="009462F3" w:rsidP="0093335D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color w:val="FFFFFF" w:themeColor="background1"/>
              </w:rPr>
            </w:pPr>
            <w:r w:rsidRPr="006D5A79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944181" w:rsidRPr="00AA2156" w14:paraId="23FB8009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3DF0C7AC" w14:textId="77777777" w:rsidR="000D04A7" w:rsidRPr="000D7736" w:rsidRDefault="00944181" w:rsidP="0093335D">
            <w:pPr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  <w:t xml:space="preserve">Read the PSNC </w:t>
            </w:r>
          </w:p>
          <w:p w14:paraId="193B6C1F" w14:textId="2D7D60A1" w:rsidR="00944181" w:rsidRPr="000D7736" w:rsidRDefault="00944181" w:rsidP="0093335D">
            <w:pPr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  <w:t>Briefing</w:t>
            </w:r>
          </w:p>
        </w:tc>
        <w:tc>
          <w:tcPr>
            <w:tcW w:w="6237" w:type="dxa"/>
            <w:tcBorders>
              <w:top w:val="nil"/>
            </w:tcBorders>
          </w:tcPr>
          <w:p w14:paraId="7A94492C" w14:textId="7E3A84F4" w:rsidR="005A59B1" w:rsidRPr="000D7736" w:rsidRDefault="005A59B1" w:rsidP="001138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C00000"/>
                <w:sz w:val="22"/>
                <w:szCs w:val="22"/>
                <w:u w:val="none"/>
              </w:rPr>
            </w:pPr>
            <w:r w:rsidRPr="000D7736">
              <w:rPr>
                <w:rFonts w:ascii="Calibri" w:hAnsi="Calibri" w:cs="Calibri"/>
                <w:sz w:val="22"/>
                <w:szCs w:val="22"/>
                <w:u w:val="none"/>
              </w:rPr>
              <w:t xml:space="preserve">Ensure you read the </w:t>
            </w:r>
            <w:hyperlink r:id="rId23" w:history="1">
              <w:r w:rsidRPr="000D77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PSNC briefing</w:t>
              </w:r>
            </w:hyperlink>
            <w:r w:rsidRPr="000D7736">
              <w:rPr>
                <w:rFonts w:ascii="Calibri" w:hAnsi="Calibri" w:cs="Calibri"/>
                <w:sz w:val="22"/>
                <w:szCs w:val="22"/>
                <w:u w:val="none"/>
              </w:rPr>
              <w:t xml:space="preserve"> which give a summary of the </w:t>
            </w:r>
            <w:r w:rsidR="00113840" w:rsidRPr="000D7736">
              <w:rPr>
                <w:rFonts w:ascii="Calibri" w:hAnsi="Calibri" w:cs="Calibri"/>
                <w:sz w:val="22"/>
                <w:szCs w:val="22"/>
                <w:u w:val="none"/>
              </w:rPr>
              <w:t xml:space="preserve">revisions from the previous criteria </w:t>
            </w:r>
            <w:r w:rsidR="00113840" w:rsidRPr="000D7736">
              <w:rPr>
                <w:rFonts w:ascii="Calibri" w:hAnsi="Calibri" w:cs="Calibri"/>
                <w:color w:val="C00000"/>
                <w:sz w:val="22"/>
                <w:szCs w:val="22"/>
                <w:u w:val="none"/>
              </w:rPr>
              <w:t xml:space="preserve">Please note there have been several revisions from the previous scheme. </w:t>
            </w:r>
          </w:p>
          <w:p w14:paraId="260B6FCA" w14:textId="77777777" w:rsidR="00113840" w:rsidRPr="000D7736" w:rsidRDefault="00113840" w:rsidP="001138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  <w:p w14:paraId="17AF8F6C" w14:textId="3FE2B314" w:rsidR="00944181" w:rsidRPr="000D7736" w:rsidRDefault="00113840" w:rsidP="001138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0D7736">
              <w:rPr>
                <w:rFonts w:ascii="Calibri" w:hAnsi="Calibri" w:cs="Calibri"/>
                <w:sz w:val="22"/>
                <w:szCs w:val="22"/>
                <w:u w:val="none"/>
              </w:rPr>
              <w:t xml:space="preserve">The review point will be in February 2020; the exact date of the review point is being finalised and will be announced shortly. </w:t>
            </w:r>
          </w:p>
        </w:tc>
        <w:tc>
          <w:tcPr>
            <w:tcW w:w="1560" w:type="dxa"/>
            <w:tcBorders>
              <w:top w:val="nil"/>
            </w:tcBorders>
          </w:tcPr>
          <w:p w14:paraId="451DD184" w14:textId="77777777" w:rsidR="00944181" w:rsidRPr="00AA2156" w:rsidRDefault="00944181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6C75C56E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61B105A6" w14:textId="7C098868" w:rsidR="00113840" w:rsidRPr="000D7736" w:rsidRDefault="00694868" w:rsidP="0093335D">
            <w:pPr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  <w:t xml:space="preserve">CPPE Risk Management Training &amp; Assessment  </w:t>
            </w:r>
          </w:p>
        </w:tc>
        <w:tc>
          <w:tcPr>
            <w:tcW w:w="6237" w:type="dxa"/>
            <w:tcBorders>
              <w:top w:val="nil"/>
            </w:tcBorders>
          </w:tcPr>
          <w:p w14:paraId="3F6B05E3" w14:textId="77777777" w:rsidR="00AA2156" w:rsidRPr="000D7736" w:rsidRDefault="00694868" w:rsidP="00113840">
            <w:pPr>
              <w:rPr>
                <w:rFonts w:ascii="Calibri" w:hAnsi="Calibri" w:cs="Calibri"/>
                <w:sz w:val="22"/>
                <w:szCs w:val="22"/>
              </w:rPr>
            </w:pPr>
            <w:r w:rsidRPr="000D7736">
              <w:rPr>
                <w:rFonts w:ascii="Calibri" w:hAnsi="Calibri" w:cs="Calibri"/>
                <w:sz w:val="22"/>
                <w:szCs w:val="22"/>
              </w:rPr>
              <w:t>80% of all pharmacy professionals must have completed</w:t>
            </w:r>
          </w:p>
          <w:p w14:paraId="5F329BED" w14:textId="07CDAB1D" w:rsidR="005274B9" w:rsidRPr="000D7736" w:rsidRDefault="00941CDA" w:rsidP="00113840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694868" w:rsidRPr="000D77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CPPE Risk</w:t>
              </w:r>
              <w:r w:rsidR="005274B9" w:rsidRPr="000D7736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="00694868" w:rsidRPr="000D77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Management training and assessment</w:t>
              </w:r>
            </w:hyperlink>
            <w:r w:rsidR="00694868" w:rsidRPr="000D773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 w14:paraId="3394BF25" w14:textId="77777777" w:rsidR="009462F3" w:rsidRPr="00AA2156" w:rsidRDefault="009462F3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21B3A15B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6EF67D60" w14:textId="30CD5A13" w:rsidR="009462F3" w:rsidRPr="000D7736" w:rsidRDefault="00694868" w:rsidP="0093335D">
            <w:pPr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</w:pPr>
            <w:r w:rsidRPr="000D7736"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  <w:t>CPPE Sepsis Training &amp; Assessment</w:t>
            </w:r>
          </w:p>
        </w:tc>
        <w:tc>
          <w:tcPr>
            <w:tcW w:w="6237" w:type="dxa"/>
            <w:tcBorders>
              <w:top w:val="nil"/>
            </w:tcBorders>
          </w:tcPr>
          <w:p w14:paraId="028A9D3E" w14:textId="77777777" w:rsidR="00AA2156" w:rsidRPr="000D7736" w:rsidRDefault="00694868" w:rsidP="0093335D">
            <w:pPr>
              <w:rPr>
                <w:rFonts w:ascii="Calibri" w:hAnsi="Calibri" w:cs="Calibri"/>
                <w:sz w:val="22"/>
                <w:szCs w:val="22"/>
              </w:rPr>
            </w:pPr>
            <w:r w:rsidRPr="000D7736">
              <w:rPr>
                <w:rFonts w:ascii="Calibri" w:hAnsi="Calibri" w:cs="Calibri"/>
                <w:sz w:val="22"/>
                <w:szCs w:val="22"/>
              </w:rPr>
              <w:t xml:space="preserve">80% of all pharmacy professionals must have completed </w:t>
            </w:r>
          </w:p>
          <w:p w14:paraId="0134B155" w14:textId="782A1C3F" w:rsidR="009462F3" w:rsidRPr="000D7736" w:rsidRDefault="00941CDA" w:rsidP="0093335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25" w:history="1">
              <w:r w:rsidR="00694868" w:rsidRPr="000D77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CPPE Sepsis training and assessment.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14:paraId="5D83BB41" w14:textId="77777777" w:rsidR="009462F3" w:rsidRPr="00AA2156" w:rsidRDefault="009462F3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614CA2" w:rsidRPr="00AA2156" w14:paraId="223B9AF2" w14:textId="77777777" w:rsidTr="006D5A79">
        <w:trPr>
          <w:trHeight w:val="413"/>
        </w:trPr>
        <w:tc>
          <w:tcPr>
            <w:tcW w:w="2268" w:type="dxa"/>
            <w:tcBorders>
              <w:top w:val="nil"/>
            </w:tcBorders>
          </w:tcPr>
          <w:p w14:paraId="586E04CD" w14:textId="2A48A041" w:rsidR="00614CA2" w:rsidRPr="000D7736" w:rsidRDefault="00614CA2" w:rsidP="0093335D">
            <w:pPr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E8F00"/>
                <w:sz w:val="22"/>
                <w:szCs w:val="22"/>
              </w:rPr>
              <w:t>CPPE LASA Training &amp; Assessment</w:t>
            </w:r>
          </w:p>
        </w:tc>
        <w:tc>
          <w:tcPr>
            <w:tcW w:w="6237" w:type="dxa"/>
            <w:tcBorders>
              <w:top w:val="nil"/>
            </w:tcBorders>
          </w:tcPr>
          <w:p w14:paraId="46BCABE8" w14:textId="77777777" w:rsidR="00614CA2" w:rsidRPr="00614CA2" w:rsidRDefault="00614CA2" w:rsidP="00614CA2">
            <w:pPr>
              <w:rPr>
                <w:rFonts w:ascii="Calibri" w:hAnsi="Calibri" w:cs="Calibri"/>
                <w:sz w:val="22"/>
                <w:szCs w:val="22"/>
              </w:rPr>
            </w:pPr>
            <w:r w:rsidRPr="00614CA2">
              <w:rPr>
                <w:rFonts w:ascii="Calibri" w:hAnsi="Calibri" w:cs="Calibri"/>
                <w:sz w:val="22"/>
                <w:szCs w:val="22"/>
              </w:rPr>
              <w:t xml:space="preserve">80% of all pharmacy professionals must have completed </w:t>
            </w:r>
          </w:p>
          <w:p w14:paraId="0FBB15E6" w14:textId="7F46CB47" w:rsidR="00614CA2" w:rsidRPr="00614CA2" w:rsidRDefault="00941CDA" w:rsidP="0093335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26" w:history="1">
              <w:r w:rsidR="00614CA2" w:rsidRPr="00614CA2">
                <w:rPr>
                  <w:rStyle w:val="Hyperlink"/>
                  <w:rFonts w:ascii="Calibri" w:hAnsi="Calibri" w:cs="Calibri"/>
                  <w:sz w:val="22"/>
                  <w:szCs w:val="22"/>
                </w:rPr>
                <w:t>CPPE Reducing look-alike, sound a-like errors (LASA) e-learning and assessment.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14:paraId="1743E1D6" w14:textId="77777777" w:rsidR="00614CA2" w:rsidRPr="00AA2156" w:rsidRDefault="00614CA2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62F3" w:rsidRPr="00AA2156" w14:paraId="239E0FDD" w14:textId="77777777" w:rsidTr="006D5A7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9F7" w14:textId="2AC8920C" w:rsidR="009462F3" w:rsidRPr="000D7736" w:rsidRDefault="00694868" w:rsidP="009462F3">
            <w:pPr>
              <w:rPr>
                <w:rFonts w:ascii="Calibri" w:hAnsi="Calibri" w:cs="Calibri"/>
                <w:b/>
                <w:color w:val="4E8F00"/>
                <w:sz w:val="22"/>
                <w:szCs w:val="22"/>
              </w:rPr>
            </w:pPr>
            <w:r w:rsidRPr="000D7736">
              <w:rPr>
                <w:rFonts w:ascii="Calibri" w:hAnsi="Calibri" w:cs="Calibri"/>
                <w:b/>
                <w:color w:val="4E8F00"/>
                <w:sz w:val="22"/>
                <w:szCs w:val="22"/>
              </w:rPr>
              <w:t xml:space="preserve">Dementia Friends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C6B" w14:textId="6CAE656F" w:rsidR="00694868" w:rsidRPr="000D7736" w:rsidRDefault="00694868" w:rsidP="0093335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77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Ensure all patient facing staff are a Dementia Friend</w:t>
            </w:r>
            <w:r w:rsidR="005274B9" w:rsidRPr="000D77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check the status of any new staff.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019" w14:textId="77777777" w:rsidR="009462F3" w:rsidRPr="00AA2156" w:rsidRDefault="009462F3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5274B9" w:rsidRPr="00AA2156" w14:paraId="6ED2CADD" w14:textId="77777777" w:rsidTr="006D5A7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022" w14:textId="2D4AAB2D" w:rsidR="005274B9" w:rsidRPr="000D7736" w:rsidRDefault="00E10F3F" w:rsidP="009462F3">
            <w:pPr>
              <w:rPr>
                <w:rFonts w:ascii="Calibri" w:hAnsi="Calibri" w:cs="Calibri"/>
                <w:b/>
                <w:color w:val="4E8F00"/>
                <w:sz w:val="22"/>
                <w:szCs w:val="22"/>
              </w:rPr>
            </w:pPr>
            <w:r w:rsidRPr="000D7736">
              <w:rPr>
                <w:rFonts w:ascii="Calibri" w:hAnsi="Calibri" w:cs="Calibri"/>
                <w:b/>
                <w:color w:val="4E8F00"/>
                <w:sz w:val="22"/>
                <w:szCs w:val="22"/>
              </w:rPr>
              <w:t>Summary Care Records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FBF" w14:textId="77777777" w:rsidR="00E10F3F" w:rsidRPr="000D7736" w:rsidRDefault="00E10F3F" w:rsidP="0093335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77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Ensure all registered pharmacy professionals are able to access SCR.</w:t>
            </w:r>
          </w:p>
          <w:p w14:paraId="24E3016C" w14:textId="77777777" w:rsidR="00E10F3F" w:rsidRPr="000D7736" w:rsidRDefault="00E10F3F" w:rsidP="0093335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B01692B" w14:textId="131B8C01" w:rsidR="00E10F3F" w:rsidRPr="000D7736" w:rsidRDefault="00E10F3F" w:rsidP="0093335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77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See the </w:t>
            </w:r>
            <w:hyperlink r:id="rId27" w:history="1">
              <w:r w:rsidRPr="000D77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LPC website</w:t>
              </w:r>
            </w:hyperlink>
            <w:r w:rsidRPr="000D77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for how to add the role to a smartcard.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EAA" w14:textId="77777777" w:rsidR="005274B9" w:rsidRPr="00AA2156" w:rsidRDefault="005274B9" w:rsidP="0093335D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3BE512C" w14:textId="3D89B48F" w:rsidR="009462F3" w:rsidRPr="00AA2156" w:rsidRDefault="009462F3" w:rsidP="00482079">
      <w:pPr>
        <w:ind w:right="815"/>
        <w:rPr>
          <w:rFonts w:asciiTheme="minorHAnsi" w:hAnsiTheme="minorHAnsi" w:cstheme="minorHAnsi"/>
          <w:b/>
          <w:color w:val="4E8F00"/>
          <w:sz w:val="22"/>
          <w:szCs w:val="22"/>
        </w:rPr>
      </w:pPr>
    </w:p>
    <w:p w14:paraId="66E0B587" w14:textId="04AF2FEA" w:rsidR="00FE7062" w:rsidRPr="009A3835" w:rsidRDefault="00FE7062" w:rsidP="009A3835">
      <w:pPr>
        <w:pStyle w:val="Heading1"/>
        <w:spacing w:before="1"/>
        <w:ind w:left="0"/>
        <w:rPr>
          <w:rFonts w:ascii="Calibri" w:hAnsi="Calibri" w:cs="Calibri"/>
          <w:bCs/>
          <w:color w:val="4E8F00"/>
          <w:sz w:val="20"/>
          <w:szCs w:val="20"/>
        </w:rPr>
      </w:pPr>
      <w:r w:rsidRPr="00122ABA">
        <w:rPr>
          <w:rFonts w:ascii="Calibri" w:hAnsi="Calibri" w:cs="Calibri"/>
          <w:bCs/>
          <w:color w:val="4E8F00"/>
          <w:sz w:val="20"/>
          <w:szCs w:val="20"/>
        </w:rPr>
        <w:t>If you are part of a pharmacy group or multiple, please liaise with your company managers/head office</w:t>
      </w:r>
    </w:p>
    <w:p w14:paraId="75C7101D" w14:textId="77777777" w:rsidR="009462F3" w:rsidRDefault="009462F3" w:rsidP="00482079">
      <w:pPr>
        <w:ind w:right="815"/>
        <w:rPr>
          <w:rFonts w:asciiTheme="minorHAnsi" w:hAnsiTheme="minorHAnsi" w:cstheme="minorHAnsi"/>
          <w:b/>
          <w:color w:val="4E8F00"/>
        </w:rPr>
      </w:pPr>
    </w:p>
    <w:p w14:paraId="679A2B68" w14:textId="773CE26B" w:rsidR="00482079" w:rsidRPr="00D062EF" w:rsidRDefault="00D062EF" w:rsidP="00482079">
      <w:pPr>
        <w:ind w:right="815"/>
        <w:rPr>
          <w:rFonts w:asciiTheme="minorHAnsi" w:hAnsiTheme="minorHAnsi" w:cstheme="minorHAnsi"/>
          <w:b/>
          <w:color w:val="76923C" w:themeColor="accent3" w:themeShade="BF"/>
        </w:rPr>
      </w:pPr>
      <w:r w:rsidRPr="00D062EF">
        <w:rPr>
          <w:rFonts w:asciiTheme="minorHAnsi" w:hAnsiTheme="minorHAnsi" w:cstheme="minorHAnsi"/>
          <w:b/>
          <w:color w:val="4E8F00"/>
        </w:rPr>
        <w:t>If you require support from the LPC please contact us:</w:t>
      </w:r>
    </w:p>
    <w:p w14:paraId="7E15B7B4" w14:textId="20801DC2" w:rsidR="00482079" w:rsidRPr="00A665D7" w:rsidRDefault="00482079" w:rsidP="00482079">
      <w:pPr>
        <w:ind w:right="815"/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14:paraId="3F963CE4" w14:textId="77777777" w:rsidR="00941CDA" w:rsidRDefault="00941CDA" w:rsidP="00941CDA">
      <w:pPr>
        <w:tabs>
          <w:tab w:val="center" w:pos="4829"/>
          <w:tab w:val="center" w:pos="72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95959"/>
          <w:sz w:val="22"/>
        </w:rPr>
        <w:t>Matt Harvey (Chief Officer)</w:t>
      </w:r>
      <w:r>
        <w:rPr>
          <w:rFonts w:asciiTheme="minorHAnsi" w:hAnsiTheme="minorHAnsi" w:cstheme="minorHAnsi"/>
          <w:color w:val="404040"/>
          <w:sz w:val="20"/>
        </w:rPr>
        <w:t xml:space="preserve"> </w:t>
      </w:r>
      <w:r>
        <w:rPr>
          <w:rFonts w:asciiTheme="minorHAnsi" w:hAnsiTheme="minorHAnsi" w:cstheme="minorHAnsi"/>
          <w:color w:val="404040"/>
          <w:sz w:val="20"/>
        </w:rPr>
        <w:tab/>
      </w:r>
      <w:r>
        <w:rPr>
          <w:rFonts w:asciiTheme="minorHAnsi" w:hAnsiTheme="minorHAnsi" w:cstheme="minorHAnsi"/>
          <w:color w:val="0000FF"/>
          <w:sz w:val="20"/>
          <w:u w:val="single" w:color="0000FF"/>
        </w:rPr>
        <w:t>matt.liverpool.lpc@gmail.com</w:t>
      </w:r>
      <w:r>
        <w:rPr>
          <w:rFonts w:asciiTheme="minorHAnsi" w:hAnsiTheme="minorHAnsi" w:cstheme="minorHAnsi"/>
          <w:color w:val="444444"/>
          <w:sz w:val="20"/>
        </w:rPr>
        <w:t xml:space="preserve"> </w:t>
      </w:r>
      <w:r>
        <w:rPr>
          <w:rFonts w:asciiTheme="minorHAnsi" w:hAnsiTheme="minorHAnsi" w:cstheme="minorHAnsi"/>
          <w:color w:val="444444"/>
          <w:sz w:val="20"/>
        </w:rPr>
        <w:tab/>
      </w:r>
      <w:r>
        <w:rPr>
          <w:rFonts w:asciiTheme="minorHAnsi" w:hAnsiTheme="minorHAnsi" w:cstheme="minorHAnsi"/>
          <w:color w:val="595959"/>
          <w:sz w:val="20"/>
        </w:rPr>
        <w:t>Tel: 07591 207026</w:t>
      </w:r>
      <w:r>
        <w:rPr>
          <w:rFonts w:asciiTheme="minorHAnsi" w:hAnsiTheme="minorHAnsi" w:cstheme="minorHAnsi"/>
          <w:color w:val="444444"/>
          <w:sz w:val="20"/>
        </w:rPr>
        <w:t xml:space="preserve"> </w:t>
      </w:r>
    </w:p>
    <w:tbl>
      <w:tblPr>
        <w:tblStyle w:val="TableGrid0"/>
        <w:tblW w:w="8044" w:type="dxa"/>
        <w:tblInd w:w="0" w:type="dxa"/>
        <w:tblLook w:val="04A0" w:firstRow="1" w:lastRow="0" w:firstColumn="1" w:lastColumn="0" w:noHBand="0" w:noVBand="1"/>
      </w:tblPr>
      <w:tblGrid>
        <w:gridCol w:w="3602"/>
        <w:gridCol w:w="2880"/>
        <w:gridCol w:w="1562"/>
      </w:tblGrid>
      <w:tr w:rsidR="00941CDA" w14:paraId="41876DAF" w14:textId="77777777" w:rsidTr="001A79EC">
        <w:trPr>
          <w:trHeight w:val="190"/>
        </w:trPr>
        <w:tc>
          <w:tcPr>
            <w:tcW w:w="3601" w:type="dxa"/>
            <w:hideMark/>
          </w:tcPr>
          <w:p w14:paraId="01AABED7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2"/>
              </w:rPr>
              <w:t>David Barker (Engagement Officer</w:t>
            </w:r>
            <w:r>
              <w:rPr>
                <w:rFonts w:asciiTheme="minorHAnsi" w:hAnsiTheme="minorHAnsi" w:cstheme="minorHAnsi"/>
                <w:color w:val="595959"/>
                <w:sz w:val="20"/>
              </w:rPr>
              <w:t xml:space="preserve">) </w:t>
            </w:r>
            <w:r>
              <w:rPr>
                <w:rFonts w:asciiTheme="minorHAnsi" w:hAnsiTheme="minorHAnsi" w:cstheme="minorHAnsi"/>
                <w:color w:val="404040"/>
                <w:sz w:val="20"/>
              </w:rPr>
              <w:t xml:space="preserve"> </w:t>
            </w:r>
          </w:p>
        </w:tc>
        <w:tc>
          <w:tcPr>
            <w:tcW w:w="2880" w:type="dxa"/>
            <w:hideMark/>
          </w:tcPr>
          <w:p w14:paraId="0E67E093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  <w:u w:val="single" w:color="0000FF"/>
              </w:rPr>
              <w:t>david.liverpool.lpc@gmail.com</w:t>
            </w:r>
            <w:r>
              <w:rPr>
                <w:rFonts w:asciiTheme="minorHAnsi" w:hAnsiTheme="minorHAnsi" w:cstheme="minorHAnsi"/>
                <w:color w:val="444444"/>
                <w:sz w:val="20"/>
              </w:rPr>
              <w:t xml:space="preserve">  </w:t>
            </w:r>
          </w:p>
        </w:tc>
        <w:tc>
          <w:tcPr>
            <w:tcW w:w="1562" w:type="dxa"/>
            <w:hideMark/>
          </w:tcPr>
          <w:p w14:paraId="421F3029" w14:textId="77777777" w:rsidR="00941CDA" w:rsidRDefault="00941CDA" w:rsidP="001A79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0"/>
              </w:rPr>
              <w:t xml:space="preserve">Tel: 07591 207923 </w:t>
            </w:r>
          </w:p>
        </w:tc>
      </w:tr>
      <w:tr w:rsidR="00941CDA" w14:paraId="073FE05D" w14:textId="77777777" w:rsidTr="001A79EC">
        <w:trPr>
          <w:trHeight w:val="521"/>
        </w:trPr>
        <w:tc>
          <w:tcPr>
            <w:tcW w:w="3601" w:type="dxa"/>
            <w:hideMark/>
          </w:tcPr>
          <w:p w14:paraId="0387B5C9" w14:textId="77777777" w:rsidR="00941CDA" w:rsidRDefault="00941CDA" w:rsidP="001A79E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595959"/>
                <w:sz w:val="22"/>
              </w:rPr>
              <w:t>Joe Clarke (Business Support Officer)</w:t>
            </w:r>
            <w:r>
              <w:rPr>
                <w:rFonts w:asciiTheme="minorHAnsi" w:hAnsiTheme="minorHAnsi" w:cstheme="minorHAnsi"/>
                <w:color w:val="404040"/>
                <w:sz w:val="22"/>
              </w:rPr>
              <w:t xml:space="preserve"> </w:t>
            </w:r>
          </w:p>
          <w:p w14:paraId="08558005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</w:rPr>
              <w:t xml:space="preserve"> </w:t>
            </w:r>
          </w:p>
        </w:tc>
        <w:tc>
          <w:tcPr>
            <w:tcW w:w="2880" w:type="dxa"/>
            <w:hideMark/>
          </w:tcPr>
          <w:p w14:paraId="531CE26F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FF"/>
                <w:sz w:val="20"/>
                <w:u w:val="single" w:color="0000FF"/>
              </w:rPr>
              <w:t>Clarkejoe2017@gmail.com</w:t>
            </w:r>
            <w:r>
              <w:rPr>
                <w:rFonts w:asciiTheme="minorHAnsi" w:hAnsiTheme="minorHAnsi" w:cstheme="minorHAnsi"/>
                <w:color w:val="404040"/>
                <w:sz w:val="20"/>
              </w:rPr>
              <w:t xml:space="preserve">   </w:t>
            </w:r>
          </w:p>
        </w:tc>
        <w:tc>
          <w:tcPr>
            <w:tcW w:w="1562" w:type="dxa"/>
            <w:hideMark/>
          </w:tcPr>
          <w:p w14:paraId="16279305" w14:textId="77777777" w:rsidR="00941CDA" w:rsidRDefault="00941CDA" w:rsidP="001A79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0"/>
              </w:rPr>
              <w:t>Tel: 07958 774715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1CDA" w14:paraId="4C0DD7D1" w14:textId="77777777" w:rsidTr="001A79EC">
        <w:trPr>
          <w:trHeight w:val="244"/>
        </w:trPr>
        <w:tc>
          <w:tcPr>
            <w:tcW w:w="3601" w:type="dxa"/>
            <w:hideMark/>
          </w:tcPr>
          <w:p w14:paraId="388F1671" w14:textId="77777777" w:rsidR="00941CDA" w:rsidRDefault="00941CDA" w:rsidP="001A79EC">
            <w:pPr>
              <w:tabs>
                <w:tab w:val="center" w:pos="2160"/>
                <w:tab w:val="center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2"/>
              </w:rPr>
              <w:t xml:space="preserve">Follow us on Twitter </w:t>
            </w:r>
            <w:r>
              <w:rPr>
                <w:rFonts w:asciiTheme="minorHAnsi" w:hAnsiTheme="minorHAnsi" w:cstheme="minorHAnsi"/>
                <w:color w:val="595959"/>
                <w:sz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color w:val="595959"/>
                <w:sz w:val="20"/>
              </w:rPr>
              <w:tab/>
              <w:t xml:space="preserve"> </w:t>
            </w:r>
          </w:p>
        </w:tc>
        <w:tc>
          <w:tcPr>
            <w:tcW w:w="2880" w:type="dxa"/>
            <w:hideMark/>
          </w:tcPr>
          <w:p w14:paraId="645CD1E7" w14:textId="77777777" w:rsidR="00941CDA" w:rsidRDefault="00941CDA" w:rsidP="001A79EC">
            <w:pPr>
              <w:tabs>
                <w:tab w:val="center" w:pos="1440"/>
                <w:tab w:val="center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0"/>
              </w:rPr>
              <w:t>@</w:t>
            </w:r>
            <w:proofErr w:type="spellStart"/>
            <w:r>
              <w:rPr>
                <w:rFonts w:asciiTheme="minorHAnsi" w:hAnsiTheme="minorHAnsi" w:cstheme="minorHAnsi"/>
                <w:color w:val="595959"/>
                <w:sz w:val="20"/>
              </w:rPr>
              <w:t>liverpoolLPC</w:t>
            </w:r>
            <w:proofErr w:type="spellEnd"/>
            <w:r>
              <w:rPr>
                <w:rFonts w:asciiTheme="minorHAnsi" w:hAnsiTheme="minorHAnsi" w:cstheme="minorHAnsi"/>
                <w:color w:val="59595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95959"/>
                <w:sz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color w:val="595959"/>
                <w:sz w:val="20"/>
              </w:rPr>
              <w:tab/>
              <w:t xml:space="preserve"> </w:t>
            </w:r>
          </w:p>
        </w:tc>
        <w:tc>
          <w:tcPr>
            <w:tcW w:w="1562" w:type="dxa"/>
          </w:tcPr>
          <w:p w14:paraId="57ED777D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</w:p>
        </w:tc>
      </w:tr>
      <w:tr w:rsidR="00941CDA" w14:paraId="0BDA0B38" w14:textId="77777777" w:rsidTr="001A79EC">
        <w:trPr>
          <w:trHeight w:val="244"/>
        </w:trPr>
        <w:tc>
          <w:tcPr>
            <w:tcW w:w="3601" w:type="dxa"/>
            <w:hideMark/>
          </w:tcPr>
          <w:p w14:paraId="4A1D4BDC" w14:textId="77777777" w:rsidR="00941CDA" w:rsidRDefault="00941CDA" w:rsidP="001A79EC">
            <w:pPr>
              <w:tabs>
                <w:tab w:val="center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2"/>
              </w:rPr>
              <w:t xml:space="preserve">Join our Closed Facebook </w:t>
            </w:r>
            <w:proofErr w:type="gramStart"/>
            <w:r>
              <w:rPr>
                <w:rFonts w:asciiTheme="minorHAnsi" w:hAnsiTheme="minorHAnsi" w:cstheme="minorHAnsi"/>
                <w:color w:val="595959"/>
                <w:sz w:val="22"/>
              </w:rPr>
              <w:t xml:space="preserve">Group  </w:t>
            </w:r>
            <w:r>
              <w:rPr>
                <w:rFonts w:asciiTheme="minorHAnsi" w:hAnsiTheme="minorHAnsi" w:cstheme="minorHAnsi"/>
                <w:color w:val="595959"/>
                <w:sz w:val="20"/>
              </w:rPr>
              <w:tab/>
            </w:r>
            <w:proofErr w:type="gramEnd"/>
            <w:r>
              <w:rPr>
                <w:rFonts w:asciiTheme="minorHAnsi" w:hAnsiTheme="minorHAnsi" w:cstheme="minorHAnsi"/>
                <w:color w:val="595959"/>
                <w:sz w:val="20"/>
              </w:rPr>
              <w:t xml:space="preserve"> </w:t>
            </w:r>
          </w:p>
        </w:tc>
        <w:tc>
          <w:tcPr>
            <w:tcW w:w="2880" w:type="dxa"/>
            <w:hideMark/>
          </w:tcPr>
          <w:p w14:paraId="60F41614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  <w:hyperlink r:id="rId28" w:history="1">
              <w:r>
                <w:rPr>
                  <w:rStyle w:val="Hyperlink"/>
                </w:rPr>
                <w:t>LPC Facebook page</w:t>
              </w:r>
            </w:hyperlink>
            <w:hyperlink r:id="rId29" w:history="1">
              <w:r>
                <w:rPr>
                  <w:rStyle w:val="Hyperlink"/>
                  <w:color w:val="595959"/>
                </w:rPr>
                <w:t xml:space="preserve"> </w:t>
              </w:r>
            </w:hyperlink>
          </w:p>
        </w:tc>
        <w:tc>
          <w:tcPr>
            <w:tcW w:w="1562" w:type="dxa"/>
          </w:tcPr>
          <w:p w14:paraId="0EFFF155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</w:p>
        </w:tc>
      </w:tr>
      <w:tr w:rsidR="00941CDA" w14:paraId="2D576642" w14:textId="77777777" w:rsidTr="001A79EC">
        <w:trPr>
          <w:trHeight w:val="224"/>
        </w:trPr>
        <w:tc>
          <w:tcPr>
            <w:tcW w:w="3601" w:type="dxa"/>
            <w:hideMark/>
          </w:tcPr>
          <w:p w14:paraId="46ED25CE" w14:textId="77777777" w:rsidR="00941CDA" w:rsidRDefault="00941CDA" w:rsidP="001A79EC">
            <w:pPr>
              <w:tabs>
                <w:tab w:val="center" w:pos="2160"/>
                <w:tab w:val="center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95959"/>
                <w:sz w:val="22"/>
              </w:rPr>
              <w:t xml:space="preserve">Visit our </w:t>
            </w:r>
            <w:proofErr w:type="gramStart"/>
            <w:r>
              <w:rPr>
                <w:rFonts w:asciiTheme="minorHAnsi" w:hAnsiTheme="minorHAnsi" w:cstheme="minorHAnsi"/>
                <w:color w:val="595959"/>
                <w:sz w:val="22"/>
              </w:rPr>
              <w:t xml:space="preserve">website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ab/>
              <w:t xml:space="preserve"> </w:t>
            </w:r>
          </w:p>
        </w:tc>
        <w:tc>
          <w:tcPr>
            <w:tcW w:w="2880" w:type="dxa"/>
            <w:hideMark/>
          </w:tcPr>
          <w:p w14:paraId="12D02E19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  <w:hyperlink r:id="rId30" w:history="1">
              <w:r>
                <w:rPr>
                  <w:rStyle w:val="Hyperlink"/>
                </w:rPr>
                <w:t>http://www.liverpool</w:t>
              </w:r>
            </w:hyperlink>
            <w:hyperlink r:id="rId31" w:history="1">
              <w:r>
                <w:rPr>
                  <w:rStyle w:val="Hyperlink"/>
                </w:rPr>
                <w:t>-</w:t>
              </w:r>
            </w:hyperlink>
            <w:hyperlink r:id="rId32" w:history="1">
              <w:r>
                <w:rPr>
                  <w:rStyle w:val="Hyperlink"/>
                </w:rPr>
                <w:t>lpc.org.uk/</w:t>
              </w:r>
            </w:hyperlink>
            <w:hyperlink r:id="rId33" w:history="1">
              <w:r>
                <w:rPr>
                  <w:rStyle w:val="Hyperlink"/>
                  <w:color w:val="000000"/>
                </w:rPr>
                <w:t xml:space="preserve"> </w:t>
              </w:r>
            </w:hyperlink>
          </w:p>
        </w:tc>
        <w:tc>
          <w:tcPr>
            <w:tcW w:w="1562" w:type="dxa"/>
          </w:tcPr>
          <w:p w14:paraId="57853BE3" w14:textId="77777777" w:rsidR="00941CDA" w:rsidRDefault="00941CDA" w:rsidP="001A79EC">
            <w:pPr>
              <w:rPr>
                <w:rFonts w:asciiTheme="minorHAnsi" w:hAnsiTheme="minorHAnsi" w:cstheme="minorHAnsi"/>
              </w:rPr>
            </w:pPr>
          </w:p>
        </w:tc>
      </w:tr>
    </w:tbl>
    <w:p w14:paraId="5CF41F55" w14:textId="73AFE8D8" w:rsidR="00482079" w:rsidRPr="00F70C86" w:rsidRDefault="00482079" w:rsidP="00F70C86">
      <w:pPr>
        <w:ind w:right="815"/>
        <w:rPr>
          <w:rFonts w:asciiTheme="minorHAnsi" w:hAnsiTheme="minorHAnsi" w:cstheme="minorHAnsi"/>
          <w:sz w:val="20"/>
          <w:szCs w:val="20"/>
        </w:rPr>
      </w:pPr>
    </w:p>
    <w:sectPr w:rsidR="00482079" w:rsidRPr="00F70C86" w:rsidSect="006D5A79">
      <w:type w:val="continuous"/>
      <w:pgSz w:w="11910" w:h="16840"/>
      <w:pgMar w:top="890" w:right="180" w:bottom="828" w:left="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7499"/>
    <w:multiLevelType w:val="hybridMultilevel"/>
    <w:tmpl w:val="DAF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5ED"/>
    <w:multiLevelType w:val="hybridMultilevel"/>
    <w:tmpl w:val="7A0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1C30"/>
    <w:multiLevelType w:val="hybridMultilevel"/>
    <w:tmpl w:val="3C4CB04C"/>
    <w:lvl w:ilvl="0" w:tplc="E8C435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34C08B6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8AF8C880"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4D624254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0D164F10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96B40BC4"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ACF0FD88">
      <w:numFmt w:val="bullet"/>
      <w:lvlText w:val="•"/>
      <w:lvlJc w:val="left"/>
      <w:pPr>
        <w:ind w:left="3303" w:hanging="360"/>
      </w:pPr>
      <w:rPr>
        <w:rFonts w:hint="default"/>
      </w:rPr>
    </w:lvl>
    <w:lvl w:ilvl="7" w:tplc="EC40E214">
      <w:numFmt w:val="bullet"/>
      <w:lvlText w:val="•"/>
      <w:lvlJc w:val="left"/>
      <w:pPr>
        <w:ind w:left="3717" w:hanging="360"/>
      </w:pPr>
      <w:rPr>
        <w:rFonts w:hint="default"/>
      </w:rPr>
    </w:lvl>
    <w:lvl w:ilvl="8" w:tplc="959E49DA">
      <w:numFmt w:val="bullet"/>
      <w:lvlText w:val="•"/>
      <w:lvlJc w:val="left"/>
      <w:pPr>
        <w:ind w:left="413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E"/>
    <w:rsid w:val="000316EB"/>
    <w:rsid w:val="00032A30"/>
    <w:rsid w:val="00043925"/>
    <w:rsid w:val="000559AB"/>
    <w:rsid w:val="00057DA6"/>
    <w:rsid w:val="00083E16"/>
    <w:rsid w:val="00091F50"/>
    <w:rsid w:val="000A5EA8"/>
    <w:rsid w:val="000A71D7"/>
    <w:rsid w:val="000D04A7"/>
    <w:rsid w:val="000D5D38"/>
    <w:rsid w:val="000D6C7D"/>
    <w:rsid w:val="000D7736"/>
    <w:rsid w:val="001002C9"/>
    <w:rsid w:val="0011283A"/>
    <w:rsid w:val="00113840"/>
    <w:rsid w:val="00122ABA"/>
    <w:rsid w:val="00123DC6"/>
    <w:rsid w:val="00125655"/>
    <w:rsid w:val="00151F36"/>
    <w:rsid w:val="001673F1"/>
    <w:rsid w:val="00173D17"/>
    <w:rsid w:val="001C64A2"/>
    <w:rsid w:val="001C7E0B"/>
    <w:rsid w:val="001E29F8"/>
    <w:rsid w:val="00206F81"/>
    <w:rsid w:val="002356CE"/>
    <w:rsid w:val="002436B7"/>
    <w:rsid w:val="00250B3E"/>
    <w:rsid w:val="00256672"/>
    <w:rsid w:val="00282995"/>
    <w:rsid w:val="00287DA4"/>
    <w:rsid w:val="002A05A3"/>
    <w:rsid w:val="002B1ED7"/>
    <w:rsid w:val="002C2181"/>
    <w:rsid w:val="002C2414"/>
    <w:rsid w:val="002D7E5A"/>
    <w:rsid w:val="002F5C98"/>
    <w:rsid w:val="00303C90"/>
    <w:rsid w:val="0030518C"/>
    <w:rsid w:val="0031529A"/>
    <w:rsid w:val="00315A28"/>
    <w:rsid w:val="00321711"/>
    <w:rsid w:val="003329D3"/>
    <w:rsid w:val="00371D64"/>
    <w:rsid w:val="00380343"/>
    <w:rsid w:val="003B0557"/>
    <w:rsid w:val="003B1E70"/>
    <w:rsid w:val="00420D8D"/>
    <w:rsid w:val="00432637"/>
    <w:rsid w:val="00432E56"/>
    <w:rsid w:val="004601B6"/>
    <w:rsid w:val="00482079"/>
    <w:rsid w:val="00491977"/>
    <w:rsid w:val="00491A82"/>
    <w:rsid w:val="004A2028"/>
    <w:rsid w:val="004B1056"/>
    <w:rsid w:val="004B544D"/>
    <w:rsid w:val="004D57E8"/>
    <w:rsid w:val="004E7645"/>
    <w:rsid w:val="004E7CDF"/>
    <w:rsid w:val="00502204"/>
    <w:rsid w:val="005274B9"/>
    <w:rsid w:val="00576120"/>
    <w:rsid w:val="0058212E"/>
    <w:rsid w:val="005A3A19"/>
    <w:rsid w:val="005A59B1"/>
    <w:rsid w:val="005C55EE"/>
    <w:rsid w:val="005C5F41"/>
    <w:rsid w:val="005D4BAB"/>
    <w:rsid w:val="005D6541"/>
    <w:rsid w:val="005E5A26"/>
    <w:rsid w:val="005F269C"/>
    <w:rsid w:val="00604E22"/>
    <w:rsid w:val="00614CA2"/>
    <w:rsid w:val="00632946"/>
    <w:rsid w:val="00633CE7"/>
    <w:rsid w:val="00647109"/>
    <w:rsid w:val="00687BAC"/>
    <w:rsid w:val="00694868"/>
    <w:rsid w:val="00694D3D"/>
    <w:rsid w:val="00696525"/>
    <w:rsid w:val="006A1F12"/>
    <w:rsid w:val="006C2953"/>
    <w:rsid w:val="006D128B"/>
    <w:rsid w:val="006D2ACE"/>
    <w:rsid w:val="006D5A79"/>
    <w:rsid w:val="006F1DFD"/>
    <w:rsid w:val="007007D0"/>
    <w:rsid w:val="00704004"/>
    <w:rsid w:val="007063E8"/>
    <w:rsid w:val="007173FA"/>
    <w:rsid w:val="00717DD9"/>
    <w:rsid w:val="0072124D"/>
    <w:rsid w:val="00745E23"/>
    <w:rsid w:val="00755D5D"/>
    <w:rsid w:val="00756A74"/>
    <w:rsid w:val="0076553F"/>
    <w:rsid w:val="00791D37"/>
    <w:rsid w:val="00795FC5"/>
    <w:rsid w:val="007A594E"/>
    <w:rsid w:val="007A7642"/>
    <w:rsid w:val="007B53AD"/>
    <w:rsid w:val="00827D92"/>
    <w:rsid w:val="00830B9C"/>
    <w:rsid w:val="0086597C"/>
    <w:rsid w:val="008A5768"/>
    <w:rsid w:val="008B68D7"/>
    <w:rsid w:val="008B7360"/>
    <w:rsid w:val="008C3140"/>
    <w:rsid w:val="008F62FF"/>
    <w:rsid w:val="00914D97"/>
    <w:rsid w:val="00914E4F"/>
    <w:rsid w:val="00932819"/>
    <w:rsid w:val="00936D3D"/>
    <w:rsid w:val="00940065"/>
    <w:rsid w:val="00941BAC"/>
    <w:rsid w:val="00941CDA"/>
    <w:rsid w:val="00943341"/>
    <w:rsid w:val="00944181"/>
    <w:rsid w:val="009462F3"/>
    <w:rsid w:val="00951F12"/>
    <w:rsid w:val="00964454"/>
    <w:rsid w:val="0097423C"/>
    <w:rsid w:val="00977F47"/>
    <w:rsid w:val="0098031C"/>
    <w:rsid w:val="0099246F"/>
    <w:rsid w:val="009A1A9D"/>
    <w:rsid w:val="009A3835"/>
    <w:rsid w:val="009A7483"/>
    <w:rsid w:val="009B4223"/>
    <w:rsid w:val="009C25EE"/>
    <w:rsid w:val="009C60A4"/>
    <w:rsid w:val="009E3B46"/>
    <w:rsid w:val="009E47F5"/>
    <w:rsid w:val="009F5428"/>
    <w:rsid w:val="00A03979"/>
    <w:rsid w:val="00A260E7"/>
    <w:rsid w:val="00A36638"/>
    <w:rsid w:val="00A403BE"/>
    <w:rsid w:val="00A44ADD"/>
    <w:rsid w:val="00A665D7"/>
    <w:rsid w:val="00A70128"/>
    <w:rsid w:val="00A7436D"/>
    <w:rsid w:val="00A837F7"/>
    <w:rsid w:val="00A87CC3"/>
    <w:rsid w:val="00AA2156"/>
    <w:rsid w:val="00AB3BD6"/>
    <w:rsid w:val="00AC0E83"/>
    <w:rsid w:val="00AD4804"/>
    <w:rsid w:val="00AF27E4"/>
    <w:rsid w:val="00B13FE1"/>
    <w:rsid w:val="00B43DB1"/>
    <w:rsid w:val="00B452AD"/>
    <w:rsid w:val="00B62E92"/>
    <w:rsid w:val="00B74475"/>
    <w:rsid w:val="00B81807"/>
    <w:rsid w:val="00BA1576"/>
    <w:rsid w:val="00BD3317"/>
    <w:rsid w:val="00BF03B4"/>
    <w:rsid w:val="00BF3646"/>
    <w:rsid w:val="00BF676C"/>
    <w:rsid w:val="00C00D66"/>
    <w:rsid w:val="00C306AA"/>
    <w:rsid w:val="00C33828"/>
    <w:rsid w:val="00C4646D"/>
    <w:rsid w:val="00C528E5"/>
    <w:rsid w:val="00C74235"/>
    <w:rsid w:val="00C86388"/>
    <w:rsid w:val="00CC78D3"/>
    <w:rsid w:val="00CD1E58"/>
    <w:rsid w:val="00D01DF6"/>
    <w:rsid w:val="00D062EF"/>
    <w:rsid w:val="00D21CED"/>
    <w:rsid w:val="00D23496"/>
    <w:rsid w:val="00D33AD0"/>
    <w:rsid w:val="00D55304"/>
    <w:rsid w:val="00D55933"/>
    <w:rsid w:val="00D55A72"/>
    <w:rsid w:val="00D7353D"/>
    <w:rsid w:val="00D7365A"/>
    <w:rsid w:val="00D863D9"/>
    <w:rsid w:val="00DB2018"/>
    <w:rsid w:val="00DD6FAA"/>
    <w:rsid w:val="00DF2A50"/>
    <w:rsid w:val="00DF668E"/>
    <w:rsid w:val="00E06491"/>
    <w:rsid w:val="00E10F3F"/>
    <w:rsid w:val="00E2650E"/>
    <w:rsid w:val="00E3091B"/>
    <w:rsid w:val="00E43DCA"/>
    <w:rsid w:val="00E555E6"/>
    <w:rsid w:val="00E77315"/>
    <w:rsid w:val="00E77A41"/>
    <w:rsid w:val="00EA7DE3"/>
    <w:rsid w:val="00EB5986"/>
    <w:rsid w:val="00EC2410"/>
    <w:rsid w:val="00ED5739"/>
    <w:rsid w:val="00EE17C6"/>
    <w:rsid w:val="00F0613D"/>
    <w:rsid w:val="00F138D9"/>
    <w:rsid w:val="00F35A47"/>
    <w:rsid w:val="00F467DC"/>
    <w:rsid w:val="00F544DC"/>
    <w:rsid w:val="00F70C86"/>
    <w:rsid w:val="00F736FF"/>
    <w:rsid w:val="00F91D48"/>
    <w:rsid w:val="00FB2A5C"/>
    <w:rsid w:val="00FB5A43"/>
    <w:rsid w:val="00FD06DA"/>
    <w:rsid w:val="00FE7062"/>
    <w:rsid w:val="00FF0B6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D062"/>
  <w15:docId w15:val="{292D2980-E6E5-5247-BBC2-65419F6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ind w:left="228"/>
      <w:outlineLvl w:val="0"/>
    </w:pPr>
    <w:rPr>
      <w:rFonts w:ascii="Calibri Light" w:eastAsia="Calibri Light" w:hAnsi="Calibri Light" w:cs="Calibri Light"/>
      <w:sz w:val="28"/>
      <w:szCs w:val="28"/>
      <w:lang w:val="en-US" w:eastAsia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ind w:left="3775"/>
      <w:outlineLvl w:val="1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5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1D37"/>
    <w:pPr>
      <w:spacing w:before="100" w:beforeAutospacing="1" w:after="100" w:afterAutospacing="1"/>
    </w:pPr>
    <w:rPr>
      <w:rFonts w:asciiTheme="minorHAnsi" w:hAnsiTheme="minorHAnsi"/>
      <w:sz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8B7360"/>
    <w:rPr>
      <w:rFonts w:asciiTheme="minorHAnsi" w:hAnsiTheme="minorHAnsi" w:cstheme="minorHAnsi"/>
      <w:color w:val="0000FF" w:themeColor="hyperlink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1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0D8D"/>
  </w:style>
  <w:style w:type="character" w:styleId="Strong">
    <w:name w:val="Strong"/>
    <w:basedOn w:val="DefaultParagraphFont"/>
    <w:uiPriority w:val="22"/>
    <w:qFormat/>
    <w:rsid w:val="004820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2079"/>
    <w:rPr>
      <w:rFonts w:ascii="Calibri Light" w:eastAsia="Calibri Light" w:hAnsi="Calibri Light" w:cs="Calibri Light"/>
      <w:sz w:val="28"/>
      <w:szCs w:val="28"/>
    </w:rPr>
  </w:style>
  <w:style w:type="character" w:customStyle="1" w:styleId="colsname">
    <w:name w:val="colsname"/>
    <w:basedOn w:val="DefaultParagraphFont"/>
    <w:rsid w:val="002A05A3"/>
  </w:style>
  <w:style w:type="character" w:customStyle="1" w:styleId="colsdesc">
    <w:name w:val="colsdesc"/>
    <w:basedOn w:val="DefaultParagraphFont"/>
    <w:rsid w:val="002A05A3"/>
  </w:style>
  <w:style w:type="table" w:styleId="TableGrid">
    <w:name w:val="Table Grid"/>
    <w:basedOn w:val="TableNormal"/>
    <w:uiPriority w:val="59"/>
    <w:rsid w:val="002A05A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A05A3"/>
    <w:rPr>
      <w:rFonts w:eastAsia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5A3"/>
    <w:rPr>
      <w:rFonts w:ascii="Times New Roman" w:hAnsi="Times New Roman" w:cs="Times New Roman"/>
      <w:sz w:val="21"/>
      <w:szCs w:val="21"/>
      <w:lang w:val="en-GB" w:eastAsia="en-GB"/>
    </w:rPr>
  </w:style>
  <w:style w:type="table" w:customStyle="1" w:styleId="TableGrid0">
    <w:name w:val="TableGrid"/>
    <w:rsid w:val="002A05A3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A3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latest-news/email-sign-up/" TargetMode="External"/><Relationship Id="rId13" Type="http://schemas.openxmlformats.org/officeDocument/2006/relationships/hyperlink" Target="https://psnc.org.uk/services-commissioning/advanced-services/murs/mur-faqs/" TargetMode="External"/><Relationship Id="rId18" Type="http://schemas.openxmlformats.org/officeDocument/2006/relationships/hyperlink" Target="https://psnc.org.uk/services-commissioning/pharmacy-quality-scheme/pharmacy-quality-scheme-registering-for-the-manage-your-service-application/" TargetMode="External"/><Relationship Id="rId26" Type="http://schemas.openxmlformats.org/officeDocument/2006/relationships/hyperlink" Target="https://www.cppe.ac.uk/programmes/l/safetylasa-e-0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nc.org.uk/sefton-lpc/signposting/shared-mailbox-acces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snc.org.uk/our-news/contractor-announcement-funding-negotiations-result-in-five-year-cpcf-deal/" TargetMode="External"/><Relationship Id="rId12" Type="http://schemas.openxmlformats.org/officeDocument/2006/relationships/hyperlink" Target="https://liverpool-lpc.org.uk/" TargetMode="External"/><Relationship Id="rId17" Type="http://schemas.openxmlformats.org/officeDocument/2006/relationships/hyperlink" Target="https://psnc.org.uk/services-commissioning/advanced-services/community-pharmacist-consultation-service/" TargetMode="External"/><Relationship Id="rId25" Type="http://schemas.openxmlformats.org/officeDocument/2006/relationships/hyperlink" Target="https://www.cppe.ac.uk/programmes/l/sepsis-a-01/" TargetMode="External"/><Relationship Id="rId33" Type="http://schemas.openxmlformats.org/officeDocument/2006/relationships/hyperlink" Target="http://www.liverpool-lpc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nc.org.uk/services-commissioning/pharmacy-quality-scheme/pharmacy-quality-scheme-aspiration-payment/" TargetMode="External"/><Relationship Id="rId20" Type="http://schemas.openxmlformats.org/officeDocument/2006/relationships/hyperlink" Target="https://liverpool-lpc.org.uk/" TargetMode="External"/><Relationship Id="rId29" Type="http://schemas.openxmlformats.org/officeDocument/2006/relationships/hyperlink" Target="https://www.facebook.com/groups/257066005049887/?ref=bookmarks%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psnc.org.uk/our-news/psnc-launches-cpcf-roadshow-event-schedule/" TargetMode="External"/><Relationship Id="rId24" Type="http://schemas.openxmlformats.org/officeDocument/2006/relationships/hyperlink" Target="https://www.cppe.ac.uk/programmes/l/riskman-g-02/" TargetMode="External"/><Relationship Id="rId32" Type="http://schemas.openxmlformats.org/officeDocument/2006/relationships/hyperlink" Target="http://www.liverpool-lpc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nc.org.uk/services-commissioning/pharmacy-quality-scheme/" TargetMode="External"/><Relationship Id="rId23" Type="http://schemas.openxmlformats.org/officeDocument/2006/relationships/hyperlink" Target="https://psnc.org.uk/wp-content/uploads/2019/07/PSNC-Briefing-029.19-The-Pharmacy-Quality-Scheme-2019-20.pdf" TargetMode="External"/><Relationship Id="rId28" Type="http://schemas.openxmlformats.org/officeDocument/2006/relationships/hyperlink" Target="https://www.facebook.com/groups/257066005049887/?ref=bookmarks%09" TargetMode="External"/><Relationship Id="rId10" Type="http://schemas.openxmlformats.org/officeDocument/2006/relationships/hyperlink" Target="https://psnc.org.uk/wp-content/uploads/2019/07/5-year-CPCF-slide-pack.pdf" TargetMode="External"/><Relationship Id="rId19" Type="http://schemas.openxmlformats.org/officeDocument/2006/relationships/hyperlink" Target="https://psnc.org.uk/our-news/pqs-have-you-registered-for-the-manage-your-service-mys-application/" TargetMode="External"/><Relationship Id="rId31" Type="http://schemas.openxmlformats.org/officeDocument/2006/relationships/hyperlink" Target="http://www.liverpool-lpc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nc.org.uk/our-news/five-year-deal-on-cpcf-webinar-now-on-demand/" TargetMode="External"/><Relationship Id="rId14" Type="http://schemas.openxmlformats.org/officeDocument/2006/relationships/hyperlink" Target="https://psnc.org.uk/services-commissioning/psnc-briefings-services-and-commissioning/psnc-briefing-029-19-the-pharmacy-quality-scheme-2019-20/" TargetMode="External"/><Relationship Id="rId22" Type="http://schemas.openxmlformats.org/officeDocument/2006/relationships/hyperlink" Target="https://www.cppe.ac.uk/gateway/safegrding" TargetMode="External"/><Relationship Id="rId27" Type="http://schemas.openxmlformats.org/officeDocument/2006/relationships/hyperlink" Target="https://liverpool-lpc.org.uk/" TargetMode="External"/><Relationship Id="rId30" Type="http://schemas.openxmlformats.org/officeDocument/2006/relationships/hyperlink" Target="http://www.liverpool-lpc.org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C0077-163F-44FD-8222-74D09B30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Joe Docherty</cp:lastModifiedBy>
  <cp:revision>2</cp:revision>
  <cp:lastPrinted>2019-08-12T14:51:00Z</cp:lastPrinted>
  <dcterms:created xsi:type="dcterms:W3CDTF">2019-08-28T17:26:00Z</dcterms:created>
  <dcterms:modified xsi:type="dcterms:W3CDTF">2019-08-28T17:26:00Z</dcterms:modified>
</cp:coreProperties>
</file>